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78441"/>
      <w:bookmarkStart w:id="4" w:name="_Toc15377425"/>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96476"/>
      <w:bookmarkStart w:id="9" w:name="_Toc15377194"/>
      <w:bookmarkStart w:id="10" w:name="_Toc15377426"/>
      <w:r>
        <w:rPr>
          <w:rFonts w:hint="eastAsia" w:ascii="方正小标宋简体" w:hAnsi="宋体" w:eastAsia="方正小标宋简体"/>
          <w:color w:val="000000"/>
          <w:sz w:val="72"/>
          <w:szCs w:val="72"/>
        </w:rPr>
        <w:t>四川省阿坝州</w:t>
      </w:r>
      <w:bookmarkEnd w:id="0"/>
      <w:bookmarkStart w:id="11" w:name="_Toc15306268"/>
      <w:r>
        <w:rPr>
          <w:rFonts w:hint="eastAsia" w:ascii="方正小标宋简体" w:hAnsi="宋体" w:eastAsia="方正小标宋简体"/>
          <w:color w:val="000000"/>
          <w:sz w:val="72"/>
          <w:szCs w:val="72"/>
          <w:lang w:eastAsia="zh-CN"/>
        </w:rPr>
        <w:t>木材检查站</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公开时间：2020年9月</w:t>
      </w:r>
      <w:r>
        <w:t>25</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ascii="仿宋" w:hAnsi="仿宋" w:eastAsia="仿宋"/>
          <w:sz w:val="24"/>
        </w:rPr>
      </w:pPr>
      <w:r>
        <w:rPr>
          <w:rFonts w:hint="eastAsia"/>
          <w:sz w:val="24"/>
        </w:rPr>
        <w:t>一、基本职能及主要工作</w:t>
      </w:r>
    </w:p>
    <w:p>
      <w:pPr>
        <w:pStyle w:val="11"/>
        <w:adjustRightInd w:val="0"/>
        <w:snapToGrid w:val="0"/>
        <w:spacing w:line="440" w:lineRule="exact"/>
        <w:jc w:val="left"/>
        <w:rPr>
          <w:rFonts w:ascii="仿宋" w:hAnsi="仿宋" w:eastAsia="仿宋" w:cstheme="minorBidi"/>
          <w:sz w:val="24"/>
        </w:rPr>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w:t>
      </w:r>
      <w:r>
        <w:rPr>
          <w:sz w:val="24"/>
        </w:rPr>
        <w:t>“</w:t>
      </w:r>
      <w:r>
        <w:rPr>
          <w:rFonts w:hint="eastAsia"/>
          <w:sz w:val="24"/>
        </w:rPr>
        <w:t>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adjustRightInd w:val="0"/>
        <w:snapToGrid w:val="0"/>
        <w:spacing w:line="440" w:lineRule="exact"/>
        <w:ind w:firstLine="480" w:firstLineChars="200"/>
        <w:jc w:val="left"/>
        <w:rPr>
          <w:rFonts w:ascii="仿宋" w:hAnsi="仿宋" w:eastAsia="仿宋" w:cstheme="minorBidi"/>
          <w:sz w:val="24"/>
        </w:rPr>
      </w:pPr>
      <w:r>
        <w:rPr>
          <w:rStyle w:val="16"/>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bookmarkEnd w:id="16"/>
    <w:bookmarkEnd w:id="17"/>
    <w:p>
      <w:pPr>
        <w:pStyle w:val="5"/>
        <w:adjustRightInd w:val="0"/>
        <w:snapToGrid w:val="0"/>
        <w:spacing w:before="93" w:line="600" w:lineRule="exact"/>
        <w:ind w:firstLine="672" w:firstLineChars="210"/>
        <w:outlineLvl w:val="2"/>
        <w:rPr>
          <w:rFonts w:hint="eastAsia" w:ascii="仿宋" w:hAnsi="仿宋" w:eastAsia="仿宋"/>
          <w:bCs/>
          <w:color w:val="000000"/>
          <w:sz w:val="32"/>
          <w:szCs w:val="32"/>
          <w:lang w:eastAsia="zh-CN"/>
        </w:rPr>
      </w:pPr>
      <w:bookmarkStart w:id="18" w:name="_Toc15378446"/>
      <w:bookmarkStart w:id="19" w:name="_Toc15377199"/>
      <w:r>
        <w:rPr>
          <w:rFonts w:hint="eastAsia" w:ascii="仿宋" w:hAnsi="仿宋" w:eastAsia="仿宋"/>
          <w:bCs/>
          <w:color w:val="000000"/>
          <w:sz w:val="32"/>
          <w:szCs w:val="32"/>
          <w:lang w:eastAsia="zh-CN"/>
        </w:rPr>
        <w:t>一是宣传、执行《中华人民共和国森林法》、《中华人民共和国野生动物保护法》、《植物检疫条例》和国家、省、市有关木材运输检查监督的法规、政策；二是依法检查运输木材、林产品和野生动、植物及其产品运输证件，制止违法运输，在授权、委托范围内查处违法运输的木材、林产品和野生动、植物及其产品；三是根据林业行政主管部门或其它有关单位的依法授权或委托，履行相应的职责；四是完成上级交办的各项工作任务。</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p>
    <w:p>
      <w:pPr>
        <w:pStyle w:val="12"/>
        <w:widowControl/>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1、加大执法力度，发挥检查站关口作用</w:t>
      </w:r>
    </w:p>
    <w:p>
      <w:p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全站执法检查共分为两个小组，不分白天黑夜轮流值班巡逻，认真贯彻执行《中华人民共和国森林法》、《中华人民共和国野生动物保护法》和《四川省木材运输管理条例》，依法查验木材运输证件和动植物检疫证件，全年共计出勤300余次，检查可疑车辆 3000余车次，查获无证运输木材 1起,累计木材 1.763立方米，打击了偷拉盗运木材及野生动物的违法行为，维护了阿坝州森林生态的安全，充分发挥了木材检查站关口的作用。</w:t>
      </w:r>
    </w:p>
    <w:p>
      <w:p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2、加强内部管理，完善各项规章制度</w:t>
      </w:r>
    </w:p>
    <w:p>
      <w:p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根据州财政局《阿州财【2017】269号》文件要求，我站明确了差旅费报销管理的主体责任；进一步规范差旅费报销管理；进一步严明差旅费报销纪律。通过学习加强差旅费报销管理，维护差旅费制度刚性约束力，严肃财经纪律，确保中央八项规定落实到实处。</w:t>
      </w:r>
    </w:p>
    <w:p>
      <w:p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我站高度认识到财务制度的底线不可碰，本着从严管理，勤俭节约的原则，按照中央“八项规定”“六项禁令”制度和规定，严格请销假制度，继续执行从上下班打卡考勤制度，对单位职工上下班严格管理，改变以前慵懒散的状况；检查站按财务规定办事，以制度服人，认真履行《检查站出差管理办法》、《检查站国有资产管理办法》、《公务接待管理办法》、《检查站财务管理制度》、《检查站人员年度考核评优办法》《检查站公务处理实施细则》、《检查站值班制度》以及《检查站公务用车管理办法》。加强财务管理、对处罚收入的木材变价款、房租等收入一律缴入财政专户，严格执行收支两条线。各项规章制度的完善和落实使检查站的管理和执法行为更加进一步规范化、科学化和公开透明化，工作质量和效率有较大的提高。</w:t>
      </w:r>
    </w:p>
    <w:p>
      <w:p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2019年我站财务很好的完成了本年度的预算编制</w:t>
      </w:r>
      <w:r>
        <w:rPr>
          <w:rFonts w:hint="eastAsia" w:ascii="仿宋_GB2312" w:hAnsi="仿宋" w:eastAsia="仿宋_GB2312" w:cs="仿宋"/>
          <w:sz w:val="32"/>
          <w:szCs w:val="32"/>
          <w:lang w:eastAsia="zh-CN"/>
        </w:rPr>
        <w:t>及</w:t>
      </w:r>
      <w:r>
        <w:rPr>
          <w:rFonts w:hint="eastAsia" w:ascii="仿宋_GB2312" w:hAnsi="仿宋" w:eastAsia="仿宋_GB2312" w:cs="仿宋"/>
          <w:sz w:val="32"/>
          <w:szCs w:val="32"/>
        </w:rPr>
        <w:t>决算工作；顺利完成了《政府会计制度》的新旧制度衔接，保证了新的《政府会计制度》在我站的顺利实施。</w:t>
      </w:r>
    </w:p>
    <w:p>
      <w:pPr>
        <w:numPr>
          <w:ilvl w:val="0"/>
          <w:numId w:val="1"/>
        </w:num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严格按照“五查”“林业十不准”规定，加强对执法人员的执法监督，积极开展执法情况自查，严格要求执法人员注意形象，衣帽整洁、统一着装持证上岗，相互督促。对违法犯罪嫌疑人采取教育引导的方式，礼貌用语，做到以人为本、文明执法、严格执法。坚决杜绝和查处乱设卡、乱收费、乱罚款的现象。按照要求对于查处的违法犯罪案件，处罚的程序及时录制上行政权力平台，做到了执法公正、公开、透明。</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4、支持机改 ，配合州局顺利完成本次机改工作。根据阿编发（2019）66号、阿州机改办〔2019〕59号、阿州机改办〔2019〕83号《关于印发阿坝州机构改革涉改事业单位人员转隶方案》的文件精神，2019年7月2日，州林草局龙宝书记到检查站主持召开全站职工机改工作动员大会的精神和希望，我站积极配合州局机改工作组做好职工稳定和制定机改方案，于2019年8月顺利完成了13名同志转隶到州林草局工作。及时完成了单位名称、银行账户户名变更和单位法人变更手续，单位工作进入正常轨道。 </w:t>
      </w:r>
    </w:p>
    <w:p>
      <w:pPr>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5、密切与州局配合，确保政令畅通</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_GB2312" w:hAnsi="仿宋" w:eastAsia="仿宋_GB2312" w:cs="仿宋"/>
          <w:sz w:val="32"/>
          <w:szCs w:val="32"/>
        </w:rPr>
        <w:t>听从州局安排、积极主动与州局领导和有关科室汇报工作，发生问题及时上报、及时与各科室协调配合，主动沟通，较好地完成了州局下达的各项工作任务，确保了政令畅通</w:t>
      </w:r>
    </w:p>
    <w:p>
      <w:pPr>
        <w:pStyle w:val="3"/>
        <w:rPr>
          <w:rStyle w:val="26"/>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spacing w:line="480" w:lineRule="exact"/>
        <w:ind w:firstLine="640" w:firstLineChars="200"/>
        <w:rPr>
          <w:rFonts w:hint="eastAsia" w:ascii="仿宋_GB2312" w:hAnsi="仿宋" w:eastAsia="仿宋_GB2312" w:cs="仿宋"/>
          <w:kern w:val="0"/>
          <w:sz w:val="32"/>
          <w:szCs w:val="32"/>
          <w:lang w:val="en-US" w:eastAsia="zh-CN" w:bidi="ar-SA"/>
        </w:rPr>
      </w:pPr>
      <w:r>
        <w:rPr>
          <w:rFonts w:hint="eastAsia" w:ascii="仿宋_GB2312" w:hAnsi="仿宋" w:eastAsia="仿宋_GB2312" w:cs="仿宋"/>
          <w:kern w:val="0"/>
          <w:sz w:val="32"/>
          <w:szCs w:val="32"/>
          <w:lang w:val="en-US" w:eastAsia="zh-CN" w:bidi="ar-SA"/>
        </w:rPr>
        <w:t>阿坝州木材检查总站（原阿坝州漩口木材检查站，2005年经阿坝州编委批准与阿坝州林业局映秀木材服务站合并，成立阿坝州木材检查总站）始建于1972年， 经过多次搬迁后于2012年7月迁至汶川县威州镇，现站址设在汶川县威州镇西街21号， 2019年7月按阿编发（2019）66号及阿州机改办〔2019〕59号、阿州机改办〔2019〕83号）等文件精神进行了机构改革。机改后人员编制19人，主管部门为阿坝州林草局，属全额财政拨款事业单位。</w:t>
      </w:r>
    </w:p>
    <w:p>
      <w:pPr>
        <w:spacing w:line="480" w:lineRule="exact"/>
        <w:ind w:firstLine="640" w:firstLineChars="200"/>
        <w:rPr>
          <w:rFonts w:hint="eastAsia" w:ascii="仿宋_GB2312" w:hAnsi="仿宋" w:eastAsia="仿宋_GB2312" w:cs="仿宋"/>
          <w:kern w:val="0"/>
          <w:sz w:val="32"/>
          <w:szCs w:val="32"/>
          <w:lang w:val="en-US" w:eastAsia="zh-CN" w:bidi="ar-SA"/>
        </w:rPr>
      </w:pPr>
      <w:r>
        <w:rPr>
          <w:rFonts w:hint="eastAsia" w:ascii="仿宋_GB2312" w:hAnsi="仿宋" w:eastAsia="仿宋_GB2312" w:cs="仿宋"/>
          <w:kern w:val="0"/>
          <w:sz w:val="32"/>
          <w:szCs w:val="32"/>
          <w:lang w:val="en-US" w:eastAsia="zh-CN" w:bidi="ar-SA"/>
        </w:rPr>
        <w:t>其他事业单位1个。</w:t>
      </w:r>
    </w:p>
    <w:p>
      <w:pPr>
        <w:spacing w:line="480" w:lineRule="exact"/>
        <w:ind w:firstLine="640" w:firstLineChars="200"/>
        <w:rPr>
          <w:rFonts w:hint="eastAsia" w:ascii="仿宋_GB2312" w:hAnsi="仿宋" w:eastAsia="仿宋_GB2312" w:cs="仿宋"/>
          <w:kern w:val="0"/>
          <w:sz w:val="32"/>
          <w:szCs w:val="32"/>
          <w:lang w:val="en-US" w:eastAsia="zh-CN" w:bidi="ar-SA"/>
        </w:rPr>
      </w:pPr>
      <w:r>
        <w:rPr>
          <w:rFonts w:hint="eastAsia" w:ascii="仿宋_GB2312" w:hAnsi="仿宋" w:eastAsia="仿宋_GB2312" w:cs="仿宋"/>
          <w:kern w:val="0"/>
          <w:sz w:val="32"/>
          <w:szCs w:val="32"/>
          <w:lang w:val="en-US" w:eastAsia="zh-CN" w:bidi="ar-SA"/>
        </w:rPr>
        <w:t>截止2019年12月31日，实有在职职工18人，其中：男，10人，女，8人；若尔盖热当坝州木材检查站1人，汶川站17人。</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25"/>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2019年度部门决算情况说明</w:t>
      </w:r>
      <w:bookmarkEnd w:id="22"/>
      <w:bookmarkEnd w:id="23"/>
    </w:p>
    <w:p/>
    <w:p>
      <w:pPr>
        <w:pStyle w:val="24"/>
        <w:numPr>
          <w:ilvl w:val="0"/>
          <w:numId w:val="2"/>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rPr>
          <w:rFonts w:ascii="仿宋" w:hAnsi="仿宋" w:eastAsia="仿宋"/>
          <w:color w:val="000000"/>
          <w:sz w:val="32"/>
          <w:szCs w:val="32"/>
        </w:rPr>
      </w:pPr>
      <w:r>
        <w:rPr>
          <w:rFonts w:ascii="仿宋" w:hAnsi="仿宋" w:eastAsia="仿宋" w:cs="Times New Roman"/>
          <w:color w:val="000000"/>
          <w:kern w:val="2"/>
          <w:sz w:val="32"/>
          <w:szCs w:val="32"/>
          <w:lang w:val="en-US" w:eastAsia="zh-CN" w:bidi="ar-SA"/>
        </w:rPr>
        <w:t>2019年度收、支总计577.49万元。与2018年相比，收、支总计各增加 -36.83万元，增长 -6.00%。</w:t>
      </w:r>
      <w:r>
        <w:rPr>
          <w:rFonts w:hint="eastAsia" w:ascii="仿宋" w:hAnsi="仿宋" w:eastAsia="仿宋"/>
          <w:color w:val="000000"/>
          <w:sz w:val="32"/>
          <w:szCs w:val="32"/>
        </w:rPr>
        <w:t>主要变动原因</w:t>
      </w:r>
      <w:r>
        <w:rPr>
          <w:rFonts w:hint="eastAsia" w:ascii="仿宋" w:hAnsi="仿宋" w:eastAsia="仿宋"/>
          <w:color w:val="000000"/>
          <w:sz w:val="32"/>
          <w:szCs w:val="32"/>
          <w:lang w:eastAsia="zh-CN"/>
        </w:rPr>
        <w:t>：机构改革后人员及经费调整。</w:t>
      </w:r>
    </w:p>
    <w:p>
      <w:pPr>
        <w:pStyle w:val="12"/>
        <w:shd w:val="clear" w:fill="FFFFFF"/>
        <w:ind w:firstLine="640" w:firstLineChars="200"/>
        <w:rPr>
          <w:rFonts w:ascii="仿宋" w:hAnsi="仿宋" w:eastAsia="仿宋" w:cs="Times New Roman"/>
          <w:color w:val="000000"/>
          <w:kern w:val="2"/>
          <w:sz w:val="32"/>
          <w:szCs w:val="32"/>
          <w:lang w:val="en-US" w:eastAsia="zh-CN" w:bidi="ar-SA"/>
        </w:rPr>
      </w:pPr>
      <w:r>
        <w:rPr>
          <w:rFonts w:ascii="仿宋" w:hAnsi="仿宋" w:eastAsia="仿宋" w:cs="Times New Roman"/>
          <w:color w:val="000000"/>
          <w:kern w:val="2"/>
          <w:sz w:val="32"/>
          <w:szCs w:val="32"/>
          <w:lang w:val="en-US" w:eastAsia="zh-CN" w:bidi="ar-SA"/>
        </w:rPr>
        <w:drawing>
          <wp:inline distT="0" distB="0" distL="114300" distR="114300">
            <wp:extent cx="4584065" cy="2755265"/>
            <wp:effectExtent l="0" t="0" r="6985" b="6985"/>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1"/>
                    </pic:cNvPicPr>
                  </pic:nvPicPr>
                  <pic:blipFill>
                    <a:blip r:embed="rId6"/>
                    <a:stretch>
                      <a:fillRect/>
                    </a:stretch>
                  </pic:blipFill>
                  <pic:spPr>
                    <a:xfrm>
                      <a:off x="0" y="0"/>
                      <a:ext cx="4584065" cy="2755265"/>
                    </a:xfrm>
                    <a:prstGeom prst="rect">
                      <a:avLst/>
                    </a:prstGeom>
                  </pic:spPr>
                </pic:pic>
              </a:graphicData>
            </a:graphic>
          </wp:inline>
        </w:drawing>
      </w:r>
    </w:p>
    <w:p>
      <w:pPr>
        <w:pStyle w:val="12"/>
        <w:shd w:val="clear" w:fill="FFFFFF"/>
        <w:ind w:firstLine="640" w:firstLineChars="200"/>
        <w:rPr>
          <w:rFonts w:ascii="仿宋" w:hAnsi="仿宋" w:eastAsia="仿宋" w:cs="Times New Roman"/>
          <w:color w:val="000000"/>
          <w:kern w:val="2"/>
          <w:sz w:val="32"/>
          <w:szCs w:val="32"/>
          <w:lang w:val="en-US" w:eastAsia="zh-CN" w:bidi="ar-SA"/>
        </w:rPr>
      </w:pPr>
      <w:r>
        <w:rPr>
          <w:rFonts w:ascii="仿宋" w:hAnsi="仿宋" w:eastAsia="仿宋" w:cs="Times New Roman"/>
          <w:color w:val="000000"/>
          <w:kern w:val="2"/>
          <w:sz w:val="32"/>
          <w:szCs w:val="32"/>
          <w:lang w:val="en-US" w:eastAsia="zh-CN" w:bidi="ar-SA"/>
        </w:rPr>
        <w:drawing>
          <wp:inline distT="0" distB="0" distL="114300" distR="114300">
            <wp:extent cx="4584065" cy="2755265"/>
            <wp:effectExtent l="0" t="0" r="6985" b="6985"/>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1"/>
                    </pic:cNvPicPr>
                  </pic:nvPicPr>
                  <pic:blipFill>
                    <a:blip r:embed="rId7"/>
                    <a:stretch>
                      <a:fillRect/>
                    </a:stretch>
                  </pic:blipFill>
                  <pic:spPr>
                    <a:xfrm>
                      <a:off x="0" y="0"/>
                      <a:ext cx="4584065" cy="2755265"/>
                    </a:xfrm>
                    <a:prstGeom prst="rect">
                      <a:avLst/>
                    </a:prstGeom>
                  </pic:spPr>
                </pic:pic>
              </a:graphicData>
            </a:graphic>
          </wp:inline>
        </w:drawing>
      </w:r>
    </w:p>
    <w:p>
      <w:pPr>
        <w:pStyle w:val="12"/>
        <w:shd w:val="clear" w:fill="FFFFFF"/>
        <w:ind w:left="638" w:leftChars="304" w:firstLine="0" w:firstLineChars="0"/>
        <w:rPr>
          <w:rFonts w:ascii="仿宋_GB2312" w:eastAsia="仿宋_GB2312"/>
          <w:color w:val="000000"/>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2019 年本年收入合计448.55万元，其中：一般公共预算财政拨款收入448.55万元，占 100.00%。</w:t>
      </w:r>
    </w:p>
    <w:p>
      <w:pPr>
        <w:spacing w:line="240" w:lineRule="auto"/>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578985" cy="2752725"/>
            <wp:effectExtent l="0" t="0" r="12065" b="9525"/>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1"/>
                    </pic:cNvPicPr>
                  </pic:nvPicPr>
                  <pic:blipFill>
                    <a:blip r:embed="rId8"/>
                    <a:stretch>
                      <a:fillRect/>
                    </a:stretch>
                  </pic:blipFill>
                  <pic:spPr>
                    <a:xfrm>
                      <a:off x="0" y="0"/>
                      <a:ext cx="4578985" cy="2752725"/>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pStyle w:val="12"/>
        <w:shd w:val="clear" w:fill="FFFFFF"/>
        <w:rPr>
          <w:rFonts w:hint="eastAsia" w:ascii="仿宋" w:hAnsi="仿宋" w:eastAsia="仿宋" w:cs="Times New Roman"/>
          <w:color w:val="000000"/>
          <w:kern w:val="2"/>
          <w:sz w:val="32"/>
          <w:szCs w:val="32"/>
          <w:lang w:val="en-US" w:eastAsia="zh-CN" w:bidi="ar-SA"/>
        </w:rPr>
      </w:pPr>
      <w:r>
        <w:rPr>
          <w:rFonts w:ascii="宋体" w:hAnsi="宋体" w:eastAsia="宋体"/>
          <w:shd w:val="clear" w:fill="FFFFFF"/>
          <w:lang w:val="en-US"/>
        </w:rPr>
        <w:t xml:space="preserve"> </w:t>
      </w:r>
      <w:r>
        <w:rPr>
          <w:rFonts w:hint="eastAsia" w:ascii="宋体" w:hAnsi="宋体"/>
          <w:shd w:val="clear" w:fill="FFFFFF"/>
          <w:lang w:val="en-US" w:eastAsia="zh-CN"/>
        </w:rPr>
        <w:t xml:space="preserve">    </w:t>
      </w:r>
      <w:r>
        <w:rPr>
          <w:rFonts w:hint="eastAsia" w:ascii="仿宋" w:hAnsi="仿宋" w:eastAsia="仿宋" w:cs="Times New Roman"/>
          <w:color w:val="000000"/>
          <w:kern w:val="2"/>
          <w:sz w:val="32"/>
          <w:szCs w:val="32"/>
          <w:lang w:val="en-US" w:eastAsia="zh-CN" w:bidi="ar-SA"/>
        </w:rPr>
        <w:t xml:space="preserve">2019 年本年支出合计577.48万元，其中：基本支出557.19万元，占 96.49%；项目支出20.29万元，占 3.51%。  </w:t>
      </w:r>
    </w:p>
    <w:p>
      <w:pPr>
        <w:pStyle w:val="12"/>
        <w:shd w:val="clear" w:fill="FFFFFF"/>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    </w:t>
      </w:r>
      <w:r>
        <w:rPr>
          <w:rFonts w:hint="eastAsia" w:ascii="仿宋" w:hAnsi="仿宋" w:eastAsia="仿宋" w:cs="Times New Roman"/>
          <w:color w:val="000000"/>
          <w:kern w:val="2"/>
          <w:sz w:val="32"/>
          <w:szCs w:val="32"/>
          <w:lang w:val="en-US" w:eastAsia="zh-CN" w:bidi="ar-SA"/>
        </w:rPr>
        <w:drawing>
          <wp:inline distT="0" distB="0" distL="114300" distR="114300">
            <wp:extent cx="4251960" cy="2555875"/>
            <wp:effectExtent l="0" t="0" r="15240" b="15875"/>
            <wp:docPr id="7" name="图片 7"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6"/>
                    <pic:cNvPicPr>
                      <a:picLocks noChangeAspect="1"/>
                    </pic:cNvPicPr>
                  </pic:nvPicPr>
                  <pic:blipFill>
                    <a:blip r:embed="rId9"/>
                    <a:stretch>
                      <a:fillRect/>
                    </a:stretch>
                  </pic:blipFill>
                  <pic:spPr>
                    <a:xfrm>
                      <a:off x="0" y="0"/>
                      <a:ext cx="4251960" cy="2555875"/>
                    </a:xfrm>
                    <a:prstGeom prst="rect">
                      <a:avLst/>
                    </a:prstGeom>
                  </pic:spPr>
                </pic:pic>
              </a:graphicData>
            </a:graphic>
          </wp:inline>
        </w:drawing>
      </w: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Style w:val="26"/>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pStyle w:val="12"/>
        <w:shd w:val="clear" w:fill="FFFFFF"/>
        <w:rPr>
          <w:rFonts w:hint="eastAsia" w:ascii="仿宋" w:hAnsi="仿宋" w:eastAsia="仿宋" w:cs="Times New Roman"/>
          <w:color w:val="000000" w:themeColor="text1"/>
          <w:kern w:val="2"/>
          <w:sz w:val="32"/>
          <w:szCs w:val="32"/>
          <w:lang w:val="en-US" w:eastAsia="zh-CN" w:bidi="ar-SA"/>
        </w:rPr>
      </w:pPr>
      <w:r>
        <w:rPr>
          <w:rFonts w:hint="eastAsia" w:ascii="仿宋_GB2312" w:hAnsi="仿宋_GB2312" w:eastAsia="仿宋_GB2312" w:cs="仿宋_GB2312"/>
          <w:shd w:val="clear" w:fill="FFFFFF"/>
          <w:lang w:val="en-US"/>
        </w:rPr>
        <w:t xml:space="preserve"> </w:t>
      </w:r>
      <w:r>
        <w:rPr>
          <w:rFonts w:hint="eastAsia" w:ascii="仿宋_GB2312" w:hAnsi="仿宋_GB2312" w:eastAsia="仿宋_GB2312" w:cs="仿宋_GB2312"/>
          <w:shd w:val="clear" w:fill="FFFFFF"/>
          <w:lang w:val="en-US" w:eastAsia="zh-CN"/>
        </w:rPr>
        <w:t xml:space="preserve">   </w:t>
      </w:r>
      <w:r>
        <w:rPr>
          <w:rFonts w:hint="eastAsia" w:ascii="仿宋" w:hAnsi="仿宋" w:eastAsia="仿宋" w:cs="Times New Roman"/>
          <w:color w:val="000000"/>
          <w:kern w:val="2"/>
          <w:sz w:val="32"/>
          <w:szCs w:val="32"/>
          <w:lang w:val="en-US" w:eastAsia="zh-CN" w:bidi="ar-SA"/>
        </w:rPr>
        <w:t xml:space="preserve"> 2019 年财政拨款收、支总计占577.49；万元。与2018年相比，财政拨款收、支总计各增加-19.75万元，增长-3.31%。主要变动原因是机构改革后人员及经费调整。</w:t>
      </w:r>
    </w:p>
    <w:p>
      <w:pPr>
        <w:spacing w:line="240" w:lineRule="auto"/>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lang w:eastAsia="zh-CN"/>
        </w:rPr>
        <w:drawing>
          <wp:inline distT="0" distB="0" distL="114300" distR="114300">
            <wp:extent cx="4584065" cy="2755265"/>
            <wp:effectExtent l="0" t="0" r="6985" b="6985"/>
            <wp:docPr id="8" name="图片 8"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7"/>
                    <pic:cNvPicPr>
                      <a:picLocks noChangeAspect="1"/>
                    </pic:cNvPicPr>
                  </pic:nvPicPr>
                  <pic:blipFill>
                    <a:blip r:embed="rId10"/>
                    <a:stretch>
                      <a:fillRect/>
                    </a:stretch>
                  </pic:blipFill>
                  <pic:spPr>
                    <a:xfrm>
                      <a:off x="0" y="0"/>
                      <a:ext cx="4584065" cy="2755265"/>
                    </a:xfrm>
                    <a:prstGeom prst="rect">
                      <a:avLst/>
                    </a:prstGeom>
                  </pic:spPr>
                </pic:pic>
              </a:graphicData>
            </a:graphic>
          </wp:inline>
        </w:drawing>
      </w: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pStyle w:val="12"/>
        <w:shd w:val="clear" w:fill="FFFFFF"/>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2019年一般公共预算财政拨款支出577.49万元，占本年支出合计的 100.00%。与2018年相比，一般公共预算财政拨款增加 -19.75万元，增长-3.31%。主要变动原因是机构改革后人员及经费调整。</w:t>
      </w:r>
    </w:p>
    <w:p>
      <w:pPr>
        <w:pStyle w:val="12"/>
        <w:shd w:val="clear" w:fill="FFFFFF"/>
        <w:ind w:firstLine="640" w:firstLineChars="200"/>
        <w:rPr>
          <w:rFonts w:hint="eastAsia" w:ascii="仿宋" w:hAnsi="仿宋" w:eastAsia="仿宋" w:cs="Times New Roman"/>
          <w:color w:val="000000" w:themeColor="text1"/>
          <w:kern w:val="2"/>
          <w:sz w:val="32"/>
          <w:szCs w:val="32"/>
          <w:lang w:val="en-US" w:eastAsia="zh-CN" w:bidi="ar-SA"/>
        </w:rPr>
      </w:pPr>
    </w:p>
    <w:p>
      <w:pPr>
        <w:spacing w:line="24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900930" cy="2755265"/>
            <wp:effectExtent l="0" t="0" r="13970" b="698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1"/>
                    <a:stretch>
                      <a:fillRect/>
                    </a:stretch>
                  </pic:blipFill>
                  <pic:spPr>
                    <a:xfrm>
                      <a:off x="0" y="0"/>
                      <a:ext cx="4900930" cy="2755265"/>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pStyle w:val="12"/>
        <w:shd w:val="clear" w:fill="FFFFFF"/>
        <w:ind w:firstLine="640" w:firstLineChars="200"/>
        <w:rPr>
          <w:rFonts w:hint="eastAsia" w:ascii="仿宋" w:hAnsi="仿宋" w:eastAsia="仿宋"/>
          <w:color w:val="000000" w:themeColor="text1"/>
          <w:sz w:val="32"/>
          <w:szCs w:val="32"/>
          <w:lang w:eastAsia="zh-CN"/>
        </w:rPr>
      </w:pPr>
      <w:r>
        <w:rPr>
          <w:rFonts w:hint="eastAsia" w:ascii="仿宋" w:hAnsi="仿宋" w:eastAsia="仿宋" w:cs="Times New Roman"/>
          <w:color w:val="000000"/>
          <w:kern w:val="2"/>
          <w:sz w:val="32"/>
          <w:szCs w:val="32"/>
          <w:lang w:val="en-US" w:eastAsia="zh-CN" w:bidi="ar-SA"/>
        </w:rPr>
        <w:t>2019年一般公共预算财政拨款支出577.49万元，主要用于以下方面:社会保障和就业（类）支出60.97万元，占10.56%；卫生健康支出（类）28.06万元，占4.86%；农林水支出（类）454.95万元，占78.78%；住房保障支出（类）33.51万元，占5.80%。</w:t>
      </w:r>
      <w:r>
        <w:rPr>
          <w:rFonts w:hint="eastAsia" w:ascii="仿宋" w:hAnsi="仿宋" w:eastAsia="仿宋"/>
          <w:color w:val="000000" w:themeColor="text1"/>
          <w:sz w:val="32"/>
          <w:szCs w:val="32"/>
          <w:lang w:eastAsia="zh-CN"/>
        </w:rPr>
        <w:drawing>
          <wp:inline distT="0" distB="0" distL="114300" distR="114300">
            <wp:extent cx="4584065" cy="2749550"/>
            <wp:effectExtent l="0" t="0" r="6985" b="1270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1"/>
                    </pic:cNvPicPr>
                  </pic:nvPicPr>
                  <pic:blipFill>
                    <a:blip r:embed="rId12"/>
                    <a:stretch>
                      <a:fillRect/>
                    </a:stretch>
                  </pic:blipFill>
                  <pic:spPr>
                    <a:xfrm>
                      <a:off x="0" y="0"/>
                      <a:ext cx="4584065" cy="2749550"/>
                    </a:xfrm>
                    <a:prstGeom prst="rect">
                      <a:avLst/>
                    </a:prstGeom>
                  </pic:spPr>
                </pic:pic>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pStyle w:val="12"/>
        <w:shd w:val="clear" w:fill="FFFFFF"/>
        <w:ind w:firstLine="964" w:firstLineChars="300"/>
        <w:rPr>
          <w:rFonts w:ascii="仿宋" w:hAnsi="仿宋" w:eastAsia="仿宋"/>
          <w:b/>
          <w:bCs/>
          <w:color w:val="FF0000"/>
          <w:sz w:val="32"/>
          <w:szCs w:val="32"/>
        </w:rPr>
      </w:pPr>
      <w:bookmarkStart w:id="37" w:name="_Toc15377213"/>
      <w:bookmarkStart w:id="38" w:name="_Toc15377444"/>
      <w:bookmarkStart w:id="39" w:name="_Toc15378460"/>
      <w:r>
        <w:rPr>
          <w:rFonts w:hint="eastAsia" w:ascii="仿宋" w:hAnsi="仿宋" w:eastAsia="仿宋" w:cs="Times New Roman"/>
          <w:b/>
          <w:bCs/>
          <w:color w:val="000000"/>
          <w:kern w:val="2"/>
          <w:sz w:val="32"/>
          <w:szCs w:val="32"/>
          <w:lang w:val="en-US" w:eastAsia="zh-CN" w:bidi="ar-SA"/>
        </w:rPr>
        <w:t>2019年一般公共预算支出决算数为577.49万元，完成预算100.00%。</w:t>
      </w:r>
      <w:r>
        <w:rPr>
          <w:rStyle w:val="15"/>
          <w:rFonts w:hint="eastAsia" w:ascii="仿宋" w:hAnsi="仿宋" w:eastAsia="仿宋"/>
          <w:b/>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1</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w:t>
      </w:r>
      <w:r>
        <w:rPr>
          <w:rStyle w:val="15"/>
          <w:rFonts w:hint="eastAsia" w:ascii="仿宋" w:hAnsi="仿宋" w:eastAsia="仿宋"/>
          <w:bCs/>
          <w:color w:val="000000"/>
          <w:sz w:val="32"/>
          <w:szCs w:val="32"/>
          <w:lang w:val="en-US" w:eastAsia="zh-CN"/>
        </w:rPr>
        <w:t>2080505、2080506</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60.97</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Fonts w:hint="eastAsia" w:ascii="仿宋" w:hAnsi="仿宋" w:eastAsia="仿宋"/>
          <w:b/>
          <w:bCs/>
          <w:color w:val="000000" w:themeColor="text1"/>
          <w:sz w:val="32"/>
          <w:szCs w:val="32"/>
        </w:rPr>
        <w:t>卫生健康</w:t>
      </w:r>
      <w:r>
        <w:rPr>
          <w:rFonts w:hint="eastAsia" w:ascii="仿宋" w:hAnsi="仿宋" w:eastAsia="仿宋"/>
          <w:b/>
          <w:bCs/>
          <w:color w:val="000000" w:themeColor="text1"/>
          <w:sz w:val="32"/>
          <w:szCs w:val="32"/>
          <w:lang w:eastAsia="zh-CN"/>
        </w:rPr>
        <w:t>支出</w:t>
      </w:r>
      <w:r>
        <w:rPr>
          <w:rStyle w:val="15"/>
          <w:rFonts w:hint="eastAsia" w:ascii="仿宋" w:hAnsi="仿宋" w:eastAsia="仿宋"/>
          <w:bCs/>
          <w:color w:val="000000"/>
          <w:sz w:val="32"/>
          <w:szCs w:val="32"/>
        </w:rPr>
        <w:t>（</w:t>
      </w:r>
      <w:r>
        <w:rPr>
          <w:rStyle w:val="15"/>
          <w:rFonts w:hint="eastAsia" w:ascii="仿宋" w:hAnsi="仿宋" w:eastAsia="仿宋"/>
          <w:bCs/>
          <w:color w:val="000000"/>
          <w:sz w:val="32"/>
          <w:szCs w:val="32"/>
          <w:lang w:val="en-US" w:eastAsia="zh-CN"/>
        </w:rPr>
        <w:t>2101102、2101199</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28.05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Style w:val="15"/>
          <w:rFonts w:hint="eastAsia" w:ascii="仿宋" w:hAnsi="仿宋" w:eastAsia="仿宋"/>
          <w:b w:val="0"/>
          <w:bCs/>
          <w:color w:val="000000"/>
          <w:sz w:val="32"/>
          <w:szCs w:val="32"/>
        </w:rPr>
      </w:pPr>
      <w:r>
        <w:rPr>
          <w:rFonts w:hint="eastAsia" w:ascii="仿宋" w:hAnsi="仿宋" w:eastAsia="仿宋"/>
          <w:color w:val="000000"/>
          <w:sz w:val="32"/>
          <w:szCs w:val="32"/>
          <w:lang w:val="en-US" w:eastAsia="zh-CN"/>
        </w:rPr>
        <w:t>3.农林水支出2130204、2130213、2130299：</w:t>
      </w:r>
      <w:r>
        <w:rPr>
          <w:rStyle w:val="15"/>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454.95万元，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Style w:val="15"/>
          <w:rFonts w:hint="eastAsia" w:ascii="仿宋" w:hAnsi="仿宋" w:eastAsia="仿宋"/>
          <w:b w:val="0"/>
          <w:bCs/>
          <w:color w:val="000000"/>
          <w:sz w:val="32"/>
          <w:szCs w:val="32"/>
          <w:lang w:val="en-US" w:eastAsia="zh-CN"/>
        </w:rPr>
        <w:t>4.住房保障支出2210201：</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33.51</w:t>
      </w:r>
      <w:r>
        <w:rPr>
          <w:rFonts w:hint="eastAsia" w:ascii="仿宋" w:hAnsi="仿宋" w:eastAsia="仿宋"/>
          <w:color w:val="000000"/>
          <w:sz w:val="32"/>
          <w:szCs w:val="32"/>
          <w:lang w:val="en-US" w:eastAsia="zh-CN"/>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pStyle w:val="12"/>
        <w:shd w:val="clear" w:fill="FFFFFF"/>
        <w:ind w:firstLine="640" w:firstLineChars="200"/>
        <w:rPr>
          <w:rStyle w:val="15"/>
          <w:rFonts w:hint="eastAsia" w:ascii="仿宋" w:hAnsi="仿宋" w:eastAsia="仿宋" w:cs="Times New Roman"/>
          <w:b w:val="0"/>
          <w:bCs/>
          <w:color w:val="000000"/>
          <w:kern w:val="2"/>
          <w:sz w:val="32"/>
          <w:szCs w:val="32"/>
          <w:lang w:val="en-US" w:eastAsia="zh-CN" w:bidi="ar-SA"/>
        </w:rPr>
      </w:pPr>
      <w:bookmarkStart w:id="42" w:name="_Toc15396609"/>
      <w:bookmarkStart w:id="43" w:name="_Toc15377215"/>
      <w:r>
        <w:rPr>
          <w:rStyle w:val="15"/>
          <w:rFonts w:hint="eastAsia" w:ascii="仿宋" w:hAnsi="仿宋" w:eastAsia="仿宋" w:cs="Times New Roman"/>
          <w:b w:val="0"/>
          <w:bCs/>
          <w:color w:val="000000"/>
          <w:kern w:val="2"/>
          <w:sz w:val="32"/>
          <w:szCs w:val="32"/>
          <w:lang w:val="en-US" w:eastAsia="zh-CN" w:bidi="ar-SA"/>
        </w:rPr>
        <w:t>2019年一般公共预算财政拨款基本支出557.19万元，其中：</w:t>
      </w:r>
    </w:p>
    <w:p>
      <w:pPr>
        <w:pStyle w:val="12"/>
        <w:shd w:val="clear" w:fill="FFFFFF"/>
        <w:rPr>
          <w:rStyle w:val="15"/>
          <w:rFonts w:hint="eastAsia" w:ascii="仿宋" w:hAnsi="仿宋" w:eastAsia="仿宋" w:cs="Times New Roman"/>
          <w:b w:val="0"/>
          <w:bCs/>
          <w:color w:val="000000"/>
          <w:kern w:val="2"/>
          <w:sz w:val="32"/>
          <w:szCs w:val="32"/>
          <w:lang w:val="en-US" w:eastAsia="zh-CN" w:bidi="ar-SA"/>
        </w:rPr>
      </w:pPr>
      <w:r>
        <w:rPr>
          <w:rStyle w:val="15"/>
          <w:rFonts w:hint="eastAsia" w:ascii="仿宋" w:hAnsi="仿宋" w:eastAsia="仿宋" w:cs="Times New Roman"/>
          <w:b w:val="0"/>
          <w:bCs/>
          <w:color w:val="000000"/>
          <w:kern w:val="2"/>
          <w:sz w:val="32"/>
          <w:szCs w:val="32"/>
          <w:lang w:val="en-US" w:eastAsia="zh-CN" w:bidi="ar-SA"/>
        </w:rPr>
        <w:t>   人员经费499.06万元，主要包括：基本工资、津贴补贴、奖金、绩效工资、机关事业单位基本养老保险缴费、职业年金缴费、 其他社会保障缴费、其他工资福利支出、退休费、抚恤金、生活补助、住房公积金等。</w:t>
      </w:r>
      <w:r>
        <w:rPr>
          <w:rStyle w:val="15"/>
          <w:rFonts w:hint="eastAsia" w:ascii="仿宋" w:hAnsi="仿宋" w:eastAsia="仿宋" w:cs="Times New Roman"/>
          <w:b w:val="0"/>
          <w:bCs/>
          <w:color w:val="000000"/>
          <w:kern w:val="2"/>
          <w:sz w:val="32"/>
          <w:szCs w:val="32"/>
          <w:lang w:val="en-US" w:eastAsia="zh-CN" w:bidi="ar-SA"/>
        </w:rPr>
        <w:br w:type="textWrapping"/>
      </w:r>
      <w:r>
        <w:rPr>
          <w:rStyle w:val="15"/>
          <w:rFonts w:hint="eastAsia" w:ascii="仿宋" w:hAnsi="仿宋" w:eastAsia="仿宋" w:cs="Times New Roman"/>
          <w:b w:val="0"/>
          <w:bCs/>
          <w:color w:val="000000"/>
          <w:kern w:val="2"/>
          <w:sz w:val="32"/>
          <w:szCs w:val="32"/>
          <w:lang w:val="en-US" w:eastAsia="zh-CN" w:bidi="ar-SA"/>
        </w:rPr>
        <w:t>　日常公用经费58.13万元，主要包括：办公费、水费、电费、邮电费、取暖费、物业管理费、差旅费、维修（护）费、培训费、公务接待费、劳务费、福利费、公务用车运行维护费、办公设备购置、无形资产购置等。</w:t>
      </w:r>
    </w:p>
    <w:p>
      <w:pPr>
        <w:spacing w:line="600" w:lineRule="exact"/>
        <w:ind w:firstLine="640"/>
        <w:outlineLvl w:val="1"/>
        <w:rPr>
          <w:rStyle w:val="26"/>
          <w:rFonts w:ascii="黑体" w:hAnsi="黑体" w:eastAsia="黑体"/>
          <w:b w:val="0"/>
        </w:rPr>
      </w:pPr>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pStyle w:val="12"/>
        <w:shd w:val="clear" w:fill="FFFFFF"/>
        <w:ind w:firstLine="640" w:firstLineChars="200"/>
        <w:rPr>
          <w:rFonts w:hint="eastAsia" w:eastAsia="仿宋_GB2312"/>
          <w:color w:val="000000" w:themeColor="text1"/>
          <w:lang w:val="en-US" w:eastAsia="zh-CN"/>
        </w:rPr>
      </w:pPr>
      <w:r>
        <w:rPr>
          <w:rStyle w:val="15"/>
          <w:rFonts w:hint="eastAsia" w:ascii="仿宋" w:hAnsi="仿宋" w:eastAsia="仿宋" w:cs="Times New Roman"/>
          <w:b w:val="0"/>
          <w:bCs/>
          <w:color w:val="000000" w:themeColor="text1"/>
          <w:kern w:val="2"/>
          <w:sz w:val="32"/>
          <w:szCs w:val="32"/>
          <w:lang w:val="en-US" w:eastAsia="zh-CN" w:bidi="ar-SA"/>
        </w:rPr>
        <w:t>2019年“三公”经费财政拨款支出决算为12.53万元，其中：公务用车运行维护费12.38万元，公务接待费0.15万元，公务用车运行维护费完成预算70%，</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机构改革，人员调整，车辆停驶</w:t>
      </w:r>
      <w:r>
        <w:rPr>
          <w:rFonts w:hint="eastAsia" w:ascii="仿宋_GB2312" w:eastAsia="仿宋_GB2312"/>
          <w:color w:val="000000"/>
          <w:sz w:val="32"/>
          <w:szCs w:val="32"/>
          <w:lang w:val="en-US" w:eastAsia="zh-CN"/>
        </w:rPr>
        <w:t>1辆；</w:t>
      </w:r>
      <w:r>
        <w:rPr>
          <w:rStyle w:val="15"/>
          <w:rFonts w:hint="eastAsia" w:ascii="仿宋" w:hAnsi="仿宋" w:eastAsia="仿宋" w:cs="Times New Roman"/>
          <w:b w:val="0"/>
          <w:bCs/>
          <w:color w:val="000000" w:themeColor="text1"/>
          <w:kern w:val="2"/>
          <w:sz w:val="32"/>
          <w:szCs w:val="32"/>
          <w:lang w:val="en-US" w:eastAsia="zh-CN" w:bidi="ar-SA"/>
        </w:rPr>
        <w:t>公务接待费完成预算13.74%，</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厉行节约。</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pStyle w:val="12"/>
        <w:shd w:val="clear" w:fill="FFFFFF"/>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val="en-US" w:eastAsia="zh-CN"/>
        </w:rPr>
        <w:t xml:space="preserve">2019 </w:t>
      </w:r>
      <w:r>
        <w:rPr>
          <w:rFonts w:hint="eastAsia" w:ascii="仿宋_GB2312" w:eastAsia="仿宋_GB2312"/>
          <w:color w:val="000000"/>
          <w:sz w:val="32"/>
          <w:szCs w:val="32"/>
          <w:lang w:eastAsia="zh-CN"/>
        </w:rPr>
        <w:t>年“三公”经费财政拨款支出决算中，公务用车运行维护费支出决算</w:t>
      </w:r>
      <w:r>
        <w:rPr>
          <w:rFonts w:hint="eastAsia" w:ascii="仿宋_GB2312" w:eastAsia="仿宋_GB2312"/>
          <w:color w:val="000000"/>
          <w:sz w:val="32"/>
          <w:szCs w:val="32"/>
          <w:lang w:val="en-US" w:eastAsia="zh-CN"/>
        </w:rPr>
        <w:t>12.38</w:t>
      </w:r>
      <w:r>
        <w:rPr>
          <w:rFonts w:hint="eastAsia" w:ascii="仿宋_GB2312" w:eastAsia="仿宋_GB2312"/>
          <w:color w:val="000000"/>
          <w:sz w:val="32"/>
          <w:szCs w:val="32"/>
          <w:lang w:eastAsia="zh-CN"/>
        </w:rPr>
        <w:t>万元，占</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lang w:eastAsia="zh-CN"/>
        </w:rPr>
        <w:t>；公务接待费支出决算</w:t>
      </w:r>
      <w:r>
        <w:rPr>
          <w:rFonts w:hint="eastAsia" w:ascii="仿宋_GB2312" w:eastAsia="仿宋_GB2312"/>
          <w:color w:val="000000"/>
          <w:sz w:val="32"/>
          <w:szCs w:val="32"/>
          <w:lang w:val="en-US" w:eastAsia="zh-CN"/>
        </w:rPr>
        <w:t>0.15</w:t>
      </w:r>
      <w:r>
        <w:rPr>
          <w:rFonts w:hint="eastAsia" w:ascii="仿宋_GB2312" w:eastAsia="仿宋_GB2312"/>
          <w:color w:val="000000"/>
          <w:sz w:val="32"/>
          <w:szCs w:val="32"/>
          <w:lang w:eastAsia="zh-CN"/>
        </w:rPr>
        <w:t>万元，占</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。具体情况如下：</w:t>
      </w:r>
    </w:p>
    <w:p>
      <w:pPr>
        <w:pStyle w:val="12"/>
        <w:shd w:val="clear" w:fill="FFFFFF"/>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drawing>
          <wp:inline distT="0" distB="0" distL="114300" distR="114300">
            <wp:extent cx="4584065" cy="2755265"/>
            <wp:effectExtent l="0" t="0" r="6985" b="6985"/>
            <wp:docPr id="9" name="图片 9"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3"/>
                    <pic:cNvPicPr>
                      <a:picLocks noChangeAspect="1"/>
                    </pic:cNvPicPr>
                  </pic:nvPicPr>
                  <pic:blipFill>
                    <a:blip r:embed="rId13"/>
                    <a:stretch>
                      <a:fillRect/>
                    </a:stretch>
                  </pic:blipFill>
                  <pic:spPr>
                    <a:xfrm>
                      <a:off x="0" y="0"/>
                      <a:ext cx="4584065" cy="2755265"/>
                    </a:xfrm>
                    <a:prstGeom prst="rect">
                      <a:avLst/>
                    </a:prstGeom>
                  </pic:spPr>
                </pic:pic>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jc w:val="left"/>
        <w:rPr>
          <w:rFonts w:hint="eastAsia" w:ascii="仿宋_GB2312" w:eastAsia="仿宋_GB2312"/>
          <w:color w:val="auto"/>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0.00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12.38</w:t>
      </w:r>
      <w:r>
        <w:rPr>
          <w:rFonts w:hint="eastAsia" w:ascii="仿宋_GB2312" w:eastAsia="仿宋_GB2312"/>
          <w:color w:val="000000"/>
          <w:sz w:val="32"/>
          <w:szCs w:val="32"/>
        </w:rPr>
        <w:t>万元,</w:t>
      </w:r>
      <w:r>
        <w:rPr>
          <w:rStyle w:val="15"/>
          <w:rFonts w:hint="eastAsia" w:ascii="仿宋" w:hAnsi="仿宋" w:eastAsia="仿宋"/>
          <w:b w:val="0"/>
          <w:bCs/>
          <w:color w:val="auto"/>
          <w:sz w:val="32"/>
          <w:szCs w:val="32"/>
        </w:rPr>
        <w:t>完成</w:t>
      </w:r>
      <w:r>
        <w:rPr>
          <w:rFonts w:hint="eastAsia" w:ascii="仿宋_GB2312" w:eastAsia="仿宋_GB2312"/>
          <w:color w:val="auto"/>
          <w:sz w:val="32"/>
          <w:szCs w:val="32"/>
        </w:rPr>
        <w:t>预算</w:t>
      </w:r>
      <w:r>
        <w:rPr>
          <w:rFonts w:hint="eastAsia" w:ascii="仿宋_GB2312" w:eastAsia="仿宋_GB2312"/>
          <w:color w:val="auto"/>
          <w:sz w:val="32"/>
          <w:szCs w:val="32"/>
          <w:lang w:val="en-US" w:eastAsia="zh-CN"/>
        </w:rPr>
        <w:t>70</w:t>
      </w:r>
      <w:r>
        <w:rPr>
          <w:rFonts w:hint="eastAsia" w:ascii="仿宋_GB2312" w:eastAsia="仿宋_GB2312"/>
          <w:color w:val="auto"/>
          <w:sz w:val="32"/>
          <w:szCs w:val="32"/>
        </w:rPr>
        <w:t>%。公务用车购置及运行维护费支出决算比2018年减少</w:t>
      </w:r>
      <w:r>
        <w:rPr>
          <w:rFonts w:hint="eastAsia" w:ascii="仿宋_GB2312" w:eastAsia="仿宋_GB2312"/>
          <w:color w:val="auto"/>
          <w:sz w:val="32"/>
          <w:szCs w:val="32"/>
          <w:lang w:val="en-US" w:eastAsia="zh-CN"/>
        </w:rPr>
        <w:t>1.79</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12.63</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机构改革，人员调整，车辆停驶</w:t>
      </w:r>
      <w:r>
        <w:rPr>
          <w:rFonts w:hint="eastAsia" w:ascii="仿宋_GB2312" w:eastAsia="仿宋_GB2312"/>
          <w:color w:val="auto"/>
          <w:sz w:val="32"/>
          <w:szCs w:val="32"/>
          <w:lang w:val="en-US" w:eastAsia="zh-CN"/>
        </w:rPr>
        <w:t>1辆；</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0.00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0.00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辆，其中：执法执勤用车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hint="eastAsia" w:ascii="仿宋" w:hAnsi="仿宋" w:eastAsia="仿宋"/>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12.38</w:t>
      </w:r>
      <w:r>
        <w:rPr>
          <w:rFonts w:hint="eastAsia" w:ascii="仿宋_GB2312" w:eastAsia="仿宋_GB2312"/>
          <w:color w:val="000000"/>
          <w:sz w:val="32"/>
          <w:szCs w:val="32"/>
        </w:rPr>
        <w:t>万元。主要用于</w:t>
      </w:r>
      <w:r>
        <w:rPr>
          <w:rFonts w:hint="eastAsia" w:ascii="仿宋" w:hAnsi="仿宋" w:eastAsia="仿宋"/>
          <w:color w:val="000000"/>
          <w:sz w:val="32"/>
          <w:szCs w:val="32"/>
          <w:lang w:eastAsia="zh-CN"/>
        </w:rPr>
        <w:t>全州境内流动巡查执法</w:t>
      </w:r>
      <w:r>
        <w:rPr>
          <w:rFonts w:hint="eastAsia" w:ascii="仿宋" w:hAnsi="仿宋" w:eastAsia="仿宋"/>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0.15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13.74</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w:t>
      </w:r>
      <w:r>
        <w:rPr>
          <w:rFonts w:hint="eastAsia" w:ascii="仿宋_GB2312" w:eastAsia="仿宋_GB2312"/>
          <w:color w:val="000000"/>
          <w:sz w:val="32"/>
          <w:szCs w:val="32"/>
          <w:lang w:val="en-US" w:eastAsia="zh-CN"/>
        </w:rPr>
        <w:t>0.32</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68.08</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 w:hAnsi="仿宋" w:eastAsia="仿宋"/>
          <w:color w:val="000000"/>
          <w:sz w:val="32"/>
          <w:szCs w:val="32"/>
          <w:lang w:eastAsia="zh-CN"/>
        </w:rPr>
        <w:t>严格遵守公务接待制度，厉行节约</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其中：</w:t>
      </w:r>
    </w:p>
    <w:p>
      <w:pPr>
        <w:spacing w:line="600" w:lineRule="exact"/>
        <w:ind w:firstLine="640"/>
        <w:rPr>
          <w:rFonts w:hint="eastAsia" w:ascii="仿宋" w:hAnsi="仿宋" w:eastAsia="仿宋"/>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0.15</w:t>
      </w:r>
      <w:r>
        <w:rPr>
          <w:rFonts w:hint="eastAsia" w:ascii="仿宋_GB2312" w:eastAsia="仿宋_GB2312"/>
          <w:color w:val="000000"/>
          <w:sz w:val="32"/>
          <w:szCs w:val="32"/>
        </w:rPr>
        <w:t>万元，主要用于</w:t>
      </w:r>
      <w:r>
        <w:rPr>
          <w:rFonts w:hint="eastAsia" w:ascii="仿宋" w:hAnsi="仿宋" w:eastAsia="仿宋"/>
          <w:color w:val="000000"/>
          <w:sz w:val="32"/>
          <w:szCs w:val="32"/>
        </w:rPr>
        <w:t>公务接待费支出主要用于执行公务、开展业务活动开支的交通费、住宿费、用餐费等。</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国内公务接待</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批次，</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人次（不包括陪同人员），共计支出</w:t>
      </w:r>
      <w:r>
        <w:rPr>
          <w:rFonts w:hint="eastAsia" w:ascii="仿宋" w:hAnsi="仿宋" w:eastAsia="仿宋"/>
          <w:color w:val="000000"/>
          <w:sz w:val="32"/>
          <w:szCs w:val="32"/>
          <w:lang w:val="en-US" w:eastAsia="zh-CN"/>
        </w:rPr>
        <w:t>0.1457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具体内容包括：</w:t>
      </w:r>
      <w:r>
        <w:rPr>
          <w:rFonts w:hint="eastAsia" w:ascii="仿宋" w:hAnsi="仿宋" w:eastAsia="仿宋"/>
          <w:color w:val="000000"/>
          <w:sz w:val="32"/>
          <w:szCs w:val="32"/>
          <w:lang w:val="en-US" w:eastAsia="zh-CN"/>
        </w:rPr>
        <w:t>2018年12月18日接待3人165.00元、2019年6月21日接待4人446.00元、7月2日接待4人286.00元、职工食堂接待：7月15日-19日1人40.00元、8月12日-23日接待2人340.00元、9月10日-9.20日接待7人160.00元、11月8日接待1人20.00元。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0.00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批次，</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人，共计支出</w:t>
      </w:r>
      <w:r>
        <w:rPr>
          <w:rFonts w:hint="eastAsia" w:ascii="仿宋_GB2312" w:eastAsia="仿宋_GB2312"/>
          <w:color w:val="000000" w:themeColor="text1"/>
          <w:sz w:val="32"/>
          <w:szCs w:val="32"/>
          <w:lang w:val="en-US" w:eastAsia="zh-CN"/>
        </w:rPr>
        <w:t>0.00</w:t>
      </w:r>
      <w:r>
        <w:rPr>
          <w:rFonts w:hint="eastAsia" w:ascii="仿宋_GB2312" w:eastAsia="仿宋_GB2312"/>
          <w:color w:val="000000" w:themeColor="text1"/>
          <w:sz w:val="32"/>
          <w:szCs w:val="32"/>
        </w:rPr>
        <w:t>万元</w:t>
      </w:r>
      <w:r>
        <w:rPr>
          <w:rFonts w:hint="eastAsia" w:ascii="仿宋_GB2312" w:eastAsia="仿宋_GB2312"/>
          <w:color w:val="000000" w:themeColor="text1"/>
          <w:sz w:val="32"/>
          <w:szCs w:val="32"/>
          <w:lang w:eastAsia="zh-CN"/>
        </w:rPr>
        <w:t>。</w:t>
      </w: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numPr>
          <w:ilvl w:val="0"/>
          <w:numId w:val="3"/>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阿坝州木材检查站</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0.00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0.00</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9年，</w:t>
      </w:r>
      <w:r>
        <w:rPr>
          <w:rFonts w:hint="eastAsia" w:ascii="仿宋_GB2312" w:eastAsia="仿宋_GB2312"/>
          <w:color w:val="000000"/>
          <w:sz w:val="32"/>
          <w:szCs w:val="32"/>
          <w:lang w:eastAsia="zh-CN"/>
        </w:rPr>
        <w:t>阿坝州木材检查站</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12.42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12.42</w:t>
      </w:r>
      <w:r>
        <w:rPr>
          <w:rFonts w:hint="eastAsia" w:ascii="仿宋_GB2312" w:eastAsia="仿宋_GB2312"/>
          <w:color w:val="000000"/>
          <w:sz w:val="32"/>
          <w:szCs w:val="32"/>
        </w:rPr>
        <w:t>万元。按照（阿州财投[2019]45号）文件</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w:t>
      </w:r>
      <w:r>
        <w:rPr>
          <w:rFonts w:hint="eastAsia" w:ascii="仿宋" w:hAnsi="仿宋" w:eastAsia="仿宋"/>
          <w:color w:val="000000"/>
          <w:sz w:val="32"/>
          <w:szCs w:val="32"/>
          <w:lang w:val="en-US" w:eastAsia="zh-CN"/>
        </w:rPr>
        <w:t>购置林业执法设施设备、财务记账软件等</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12.42</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 w:hAnsi="仿宋" w:eastAsia="仿宋"/>
          <w:color w:val="000000"/>
          <w:sz w:val="32"/>
          <w:szCs w:val="32"/>
          <w:lang w:val="en-US"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阿坝州木材检查站</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w:t>
      </w:r>
      <w:r>
        <w:rPr>
          <w:rFonts w:hint="eastAsia" w:ascii="仿宋" w:hAnsi="仿宋" w:eastAsia="仿宋"/>
          <w:color w:val="000000"/>
          <w:sz w:val="32"/>
          <w:szCs w:val="32"/>
          <w:lang w:val="en-US" w:eastAsia="zh-CN"/>
        </w:rPr>
        <w:t>执法执勤用车2辆；单价50万元以上通用设备0台（套），单价100万元以上专用设备0台（套）。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根据预算绩效管理要求，本部门（单位）在年初预算编制阶段，组织对项目（</w:t>
      </w:r>
      <w:r>
        <w:rPr>
          <w:rFonts w:hint="eastAsia" w:ascii="仿宋_GB2312" w:hAnsi="仿宋_GB2312" w:eastAsia="仿宋_GB2312" w:cs="仿宋_GB2312"/>
          <w:sz w:val="32"/>
          <w:szCs w:val="32"/>
          <w:lang w:eastAsia="zh-CN"/>
        </w:rPr>
        <w:t>流动巡查保障经费、2019年特殊林木培育基地等其他林业基础设施建设</w:t>
      </w:r>
      <w:r>
        <w:rPr>
          <w:rFonts w:hint="eastAsia" w:ascii="仿宋_GB2312" w:hAnsi="仿宋_GB2312" w:eastAsia="仿宋_GB2312" w:cs="仿宋_GB2312"/>
          <w:sz w:val="32"/>
          <w:szCs w:val="32"/>
        </w:rPr>
        <w:t>）开展了预算事前绩效评估，对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个项目开展了绩效目标完成情况自评。</w:t>
      </w:r>
    </w:p>
    <w:p>
      <w:pPr>
        <w:pStyle w:val="12"/>
        <w:widowControl/>
        <w:spacing w:before="0" w:beforeAutospacing="0" w:after="0" w:afterAutospacing="0" w:line="585" w:lineRule="atLeast"/>
        <w:ind w:firstLine="645"/>
        <w:rPr>
          <w:rFonts w:hint="eastAsia" w:ascii="仿宋_GB2312" w:hAnsi="仿宋" w:eastAsia="仿宋_GB2312" w:cs="仿宋"/>
          <w:color w:val="auto"/>
          <w:kern w:val="2"/>
          <w:sz w:val="32"/>
          <w:szCs w:val="32"/>
          <w:lang w:eastAsia="zh-CN"/>
        </w:rPr>
      </w:pPr>
      <w:r>
        <w:rPr>
          <w:rFonts w:hint="eastAsia" w:ascii="仿宋_GB2312" w:hAnsi="仿宋_GB2312" w:eastAsia="仿宋_GB2312" w:cs="仿宋_GB2312"/>
          <w:sz w:val="32"/>
          <w:szCs w:val="32"/>
        </w:rPr>
        <w:t>本部门按要求对2019年部门整体支出开展绩效自评，从评价情况来看</w:t>
      </w:r>
      <w:r>
        <w:rPr>
          <w:rFonts w:hint="eastAsia" w:ascii="仿宋_GB2312" w:hAnsi="仿宋_GB2312" w:eastAsia="仿宋_GB2312" w:cs="仿宋_GB2312"/>
          <w:sz w:val="32"/>
          <w:szCs w:val="32"/>
          <w:lang w:eastAsia="zh-CN"/>
        </w:rPr>
        <w:t>，</w:t>
      </w:r>
      <w:r>
        <w:rPr>
          <w:rFonts w:hint="eastAsia" w:ascii="仿宋_GB2312" w:hAnsi="仿宋" w:eastAsia="仿宋_GB2312" w:cs="仿宋"/>
          <w:color w:val="auto"/>
          <w:kern w:val="2"/>
          <w:sz w:val="32"/>
          <w:szCs w:val="32"/>
          <w:lang w:eastAsia="zh-CN"/>
        </w:rPr>
        <w:t>增循先有预算、后有支出的原则，</w:t>
      </w:r>
      <w:r>
        <w:rPr>
          <w:rFonts w:hint="eastAsia" w:ascii="仿宋_GB2312" w:hAnsi="仿宋" w:eastAsia="仿宋_GB2312" w:cs="仿宋"/>
          <w:color w:val="auto"/>
          <w:kern w:val="2"/>
          <w:sz w:val="32"/>
          <w:szCs w:val="32"/>
        </w:rPr>
        <w:t>我</w:t>
      </w:r>
      <w:r>
        <w:rPr>
          <w:rFonts w:hint="eastAsia" w:ascii="仿宋_GB2312" w:hAnsi="仿宋" w:eastAsia="仿宋_GB2312" w:cs="仿宋"/>
          <w:color w:val="auto"/>
          <w:kern w:val="2"/>
          <w:sz w:val="32"/>
          <w:szCs w:val="32"/>
          <w:lang w:eastAsia="zh-CN"/>
        </w:rPr>
        <w:t>单位</w:t>
      </w:r>
      <w:r>
        <w:rPr>
          <w:rFonts w:hint="eastAsia" w:ascii="仿宋_GB2312" w:hAnsi="仿宋" w:eastAsia="仿宋_GB2312" w:cs="仿宋"/>
          <w:color w:val="auto"/>
          <w:kern w:val="2"/>
          <w:sz w:val="32"/>
          <w:szCs w:val="32"/>
        </w:rPr>
        <w:t>严格按照</w:t>
      </w:r>
      <w:r>
        <w:rPr>
          <w:rFonts w:hint="eastAsia" w:ascii="仿宋_GB2312" w:hAnsi="仿宋" w:eastAsia="仿宋_GB2312" w:cs="仿宋"/>
          <w:color w:val="auto"/>
          <w:kern w:val="2"/>
          <w:sz w:val="32"/>
          <w:szCs w:val="32"/>
          <w:lang w:eastAsia="zh-CN"/>
        </w:rPr>
        <w:t>财政</w:t>
      </w:r>
      <w:r>
        <w:rPr>
          <w:rFonts w:hint="eastAsia" w:ascii="仿宋_GB2312" w:hAnsi="仿宋" w:eastAsia="仿宋_GB2312" w:cs="仿宋"/>
          <w:color w:val="auto"/>
          <w:kern w:val="2"/>
          <w:sz w:val="32"/>
          <w:szCs w:val="32"/>
        </w:rPr>
        <w:t>预算进行支出。在支出过程中，所有</w:t>
      </w:r>
      <w:r>
        <w:rPr>
          <w:rFonts w:hint="eastAsia" w:ascii="仿宋_GB2312" w:hAnsi="仿宋" w:eastAsia="仿宋_GB2312" w:cs="仿宋"/>
          <w:color w:val="auto"/>
          <w:kern w:val="2"/>
          <w:sz w:val="32"/>
          <w:szCs w:val="32"/>
          <w:lang w:eastAsia="zh-CN"/>
        </w:rPr>
        <w:t>支出</w:t>
      </w:r>
      <w:r>
        <w:rPr>
          <w:rFonts w:hint="eastAsia" w:ascii="仿宋_GB2312" w:hAnsi="仿宋" w:eastAsia="仿宋_GB2312" w:cs="仿宋"/>
          <w:color w:val="auto"/>
          <w:kern w:val="2"/>
          <w:sz w:val="32"/>
          <w:szCs w:val="32"/>
        </w:rPr>
        <w:t>能严格遵守各项规章制度</w:t>
      </w:r>
      <w:r>
        <w:rPr>
          <w:rFonts w:hint="eastAsia" w:ascii="仿宋_GB2312" w:hAnsi="仿宋" w:eastAsia="仿宋_GB2312" w:cs="仿宋"/>
          <w:color w:val="auto"/>
          <w:kern w:val="2"/>
          <w:sz w:val="32"/>
          <w:szCs w:val="32"/>
          <w:lang w:eastAsia="zh-CN"/>
        </w:rPr>
        <w:t>，</w:t>
      </w:r>
      <w:r>
        <w:rPr>
          <w:rFonts w:hint="eastAsia" w:ascii="仿宋_GB2312" w:hAnsi="仿宋" w:eastAsia="仿宋_GB2312" w:cs="仿宋"/>
          <w:color w:val="auto"/>
          <w:kern w:val="2"/>
          <w:sz w:val="32"/>
          <w:szCs w:val="32"/>
        </w:rPr>
        <w:t>按方案组织实施，并加强监督。尤其是在专项经费支出上，能专款专用，无截留、无挪用等现象。2019年各项工作顺利开展，管理制度健全，措施保障有力，基本完成了各项绩效指标，完成率在96％以上，有效的完成了对森林资源的保护，较好地维护了生态建设和经济社会发展</w:t>
      </w:r>
      <w:r>
        <w:rPr>
          <w:rFonts w:hint="eastAsia" w:ascii="仿宋_GB2312" w:hAnsi="仿宋" w:eastAsia="仿宋_GB2312" w:cs="仿宋"/>
          <w:color w:val="auto"/>
          <w:kern w:val="2"/>
          <w:sz w:val="32"/>
          <w:szCs w:val="32"/>
          <w:lang w:eastAsia="zh-CN"/>
        </w:rPr>
        <w:t>，达到预期绩效目标。</w:t>
      </w:r>
    </w:p>
    <w:p>
      <w:pPr>
        <w:numPr>
          <w:ilvl w:val="0"/>
          <w:numId w:val="4"/>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w:t>
      </w:r>
      <w:r>
        <w:rPr>
          <w:rFonts w:hint="eastAsia" w:ascii="仿宋_GB2312" w:hAnsi="仿宋_GB2312" w:eastAsia="仿宋_GB2312" w:cs="仿宋_GB2312"/>
          <w:sz w:val="32"/>
          <w:szCs w:val="32"/>
          <w:lang w:eastAsia="zh-CN"/>
        </w:rPr>
        <w:t>流动巡查保障经费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2019年特殊林木培育基地等其他林业基础设施建设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ind w:firstLine="320" w:firstLineChars="100"/>
        <w:rPr>
          <w:rFonts w:hint="eastAsia" w:ascii="仿宋_GB2312" w:hAnsi="仿宋" w:eastAsia="仿宋_GB2312" w:cs="仿宋"/>
          <w:sz w:val="32"/>
          <w:szCs w:val="32"/>
          <w:lang w:bidi="ar"/>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流动巡查保障经费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10.88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54.40</w:t>
      </w:r>
      <w:r>
        <w:rPr>
          <w:rFonts w:hint="eastAsia" w:ascii="仿宋_GB2312" w:hAnsi="仿宋_GB2312" w:eastAsia="仿宋_GB2312" w:cs="仿宋_GB2312"/>
          <w:sz w:val="32"/>
          <w:szCs w:val="32"/>
        </w:rPr>
        <w:t>%。</w:t>
      </w:r>
      <w:r>
        <w:rPr>
          <w:rFonts w:hint="eastAsia" w:ascii="仿宋_GB2312" w:hAnsi="仿宋" w:eastAsia="仿宋_GB2312" w:cs="仿宋"/>
          <w:sz w:val="32"/>
          <w:szCs w:val="32"/>
          <w:lang w:bidi="ar"/>
        </w:rPr>
        <w:t>在木材运输管理工作中，依据《中华人民共和国森林法》、《中华人民共和国野生动物保护法》和《四川省木材运输管理条例》，在全州开展长期流动巡查，依法查验木材运输证件和动植物检疫证件。全年共计出勤300余次，检查可疑车辆 3000余车次，查获无证运输木材 1起,累计木材 1.763立方米。我站首次设计印制了以“绿水青山就是金山银山”、《森林法》、《野生动物保护法》和《四川省木材运输管理条例》为主题内容的林业法律、法规知识宣传（2020年度）挂历画册800本</w:t>
      </w:r>
      <w:r>
        <w:rPr>
          <w:rFonts w:hint="eastAsia" w:ascii="仿宋_GB2312" w:hAnsi="仿宋" w:eastAsia="仿宋_GB2312" w:cs="仿宋"/>
          <w:sz w:val="32"/>
          <w:szCs w:val="32"/>
          <w:lang w:eastAsia="zh-CN" w:bidi="ar"/>
        </w:rPr>
        <w:t>，</w:t>
      </w:r>
      <w:r>
        <w:rPr>
          <w:rFonts w:hint="eastAsia" w:ascii="仿宋_GB2312" w:hAnsi="仿宋" w:eastAsia="仿宋_GB2312" w:cs="仿宋"/>
          <w:sz w:val="32"/>
          <w:szCs w:val="32"/>
          <w:lang w:bidi="ar"/>
        </w:rPr>
        <w:t>于2019年12月2日结合州法制宣传月活动，深入马尔康、壤塘县吾依乡西西村，阿坝州林业筑路工程处壤塘浦西乡综合林场、金川县毛日乡独松乡卡拉足村俄日社和汶川县等林区、乡镇、企业林场走村入户宣传发送林业法律法规，完成宣传发</w:t>
      </w:r>
      <w:r>
        <w:rPr>
          <w:rFonts w:hint="eastAsia" w:ascii="仿宋_GB2312" w:hAnsi="仿宋" w:eastAsia="仿宋_GB2312" w:cs="仿宋"/>
          <w:sz w:val="32"/>
          <w:szCs w:val="32"/>
          <w:lang w:eastAsia="zh-CN" w:bidi="ar"/>
        </w:rPr>
        <w:t>放</w:t>
      </w:r>
      <w:r>
        <w:rPr>
          <w:rFonts w:hint="eastAsia" w:ascii="仿宋_GB2312" w:hAnsi="仿宋" w:eastAsia="仿宋_GB2312" w:cs="仿宋"/>
          <w:sz w:val="32"/>
          <w:szCs w:val="32"/>
          <w:lang w:bidi="ar"/>
        </w:rPr>
        <w:t>挂历500多本，</w:t>
      </w:r>
      <w:r>
        <w:rPr>
          <w:rFonts w:hint="eastAsia" w:ascii="仿宋_GB2312" w:hAnsi="仿宋_GB2312" w:eastAsia="仿宋_GB2312" w:cs="仿宋_GB2312"/>
          <w:sz w:val="32"/>
          <w:szCs w:val="32"/>
        </w:rPr>
        <w:t>通过项目实施，</w:t>
      </w:r>
      <w:r>
        <w:rPr>
          <w:rFonts w:hint="eastAsia" w:ascii="仿宋_GB2312" w:hAnsi="仿宋" w:eastAsia="仿宋_GB2312" w:cs="仿宋"/>
          <w:sz w:val="32"/>
          <w:szCs w:val="32"/>
          <w:lang w:bidi="ar"/>
        </w:rPr>
        <w:t>使广大乡镇林区群众充分认识到保护森林资源，维护生态平衡的重要意义，提高了广大群众的法律意识。</w:t>
      </w: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r>
        <w:rPr>
          <w:rFonts w:hint="eastAsia" w:ascii="仿宋_GB2312" w:hAnsi="仿宋_GB2312" w:eastAsia="仿宋_GB2312" w:cs="仿宋_GB2312"/>
          <w:color w:val="auto"/>
          <w:sz w:val="32"/>
          <w:szCs w:val="32"/>
        </w:rPr>
        <w:t>发现的主要问题：</w:t>
      </w:r>
      <w:r>
        <w:rPr>
          <w:rFonts w:hint="eastAsia" w:ascii="仿宋_GB2312" w:hAnsi="宋体" w:eastAsia="仿宋_GB2312"/>
          <w:color w:val="auto"/>
          <w:sz w:val="32"/>
          <w:szCs w:val="32"/>
          <w:lang w:val="en-US" w:eastAsia="zh-CN"/>
        </w:rPr>
        <w:t>1、检查手段及工具落后；2、检查人员老龄化严重；3、巡查时间偏短。</w:t>
      </w:r>
    </w:p>
    <w:p>
      <w:pPr>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下一步改进措施：</w:t>
      </w: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1、招收年轻、素质高的检查人员充实检查队伍；</w:t>
      </w:r>
    </w:p>
    <w:p>
      <w:pPr>
        <w:adjustRightInd w:val="0"/>
        <w:snapToGrid w:val="0"/>
        <w:spacing w:line="600" w:lineRule="exact"/>
        <w:ind w:firstLine="640" w:firstLineChars="200"/>
        <w:rPr>
          <w:rFonts w:ascii="仿宋_GB2312" w:hAnsi="仿宋_GB2312" w:eastAsia="仿宋_GB2312" w:cs="仿宋_GB2312"/>
          <w:color w:val="FF0000"/>
          <w:sz w:val="32"/>
          <w:szCs w:val="32"/>
        </w:rPr>
      </w:pPr>
      <w:r>
        <w:rPr>
          <w:rFonts w:hint="eastAsia" w:ascii="仿宋_GB2312" w:hAnsi="宋体" w:eastAsia="仿宋_GB2312"/>
          <w:color w:val="auto"/>
          <w:sz w:val="32"/>
          <w:szCs w:val="32"/>
          <w:lang w:val="en-US" w:eastAsia="zh-CN"/>
        </w:rPr>
        <w:t>2、加强考勤管理，延长巡查时间。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2019年特殊林木培育基地等其他林业基础设施建设</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9.41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94.10</w:t>
      </w:r>
      <w:r>
        <w:rPr>
          <w:rFonts w:hint="eastAsia" w:ascii="仿宋_GB2312" w:hAnsi="仿宋_GB2312" w:eastAsia="仿宋_GB2312" w:cs="仿宋_GB2312"/>
          <w:sz w:val="32"/>
          <w:szCs w:val="32"/>
        </w:rPr>
        <w:t>%。</w:t>
      </w:r>
      <w:r>
        <w:rPr>
          <w:rFonts w:hint="eastAsia" w:ascii="仿宋_GB2312" w:hAnsi="仿宋" w:eastAsia="仿宋_GB2312" w:cs="仿宋"/>
          <w:sz w:val="32"/>
          <w:szCs w:val="32"/>
          <w:lang w:bidi="ar"/>
        </w:rPr>
        <w:t>根据阿州财投[2019]45号）文件及“阿坝州2019年特殊林木培育基地等其他林业基础设施建设中央预算内投资支出预算表”，下达投资（中央投资）阿坝州木材检查总站热党坝分站资金10.00万元设备购置采购事项，报经阿坝州林草局批准（阿州林草发[2019]193号）并在阿坝州财政局备案（网上竞价、商场直购）；按照政府采购程序，实际支付采购金额9.41万元，顺利完成了林业执法设备采购任务</w:t>
      </w:r>
      <w:r>
        <w:rPr>
          <w:rFonts w:hint="eastAsia" w:ascii="仿宋_GB2312" w:hAnsi="仿宋" w:eastAsia="仿宋_GB2312" w:cs="仿宋"/>
          <w:sz w:val="32"/>
          <w:szCs w:val="32"/>
          <w:lang w:eastAsia="zh-CN" w:bidi="ar"/>
        </w:rPr>
        <w:t>，缓解了我单位林业行政执法设施设备短缺的现象。</w:t>
      </w:r>
      <w:r>
        <w:rPr>
          <w:rFonts w:hint="eastAsia" w:ascii="仿宋_GB2312" w:hAnsi="仿宋" w:eastAsia="仿宋_GB2312" w:cs="仿宋"/>
          <w:sz w:val="32"/>
          <w:szCs w:val="32"/>
          <w:lang w:bidi="ar"/>
        </w:rPr>
        <w:t>所购资产按相关要求记入我单位固定资产帐，在四川资产信息管理网站录入。</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271"/>
        <w:gridCol w:w="1213"/>
        <w:gridCol w:w="2300"/>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(2019年度)</w:t>
            </w:r>
          </w:p>
        </w:tc>
      </w:tr>
      <w:tr>
        <w:tblPrEx>
          <w:tblCellMar>
            <w:top w:w="0" w:type="dxa"/>
            <w:left w:w="0" w:type="dxa"/>
            <w:bottom w:w="0" w:type="dxa"/>
            <w:right w:w="0" w:type="dxa"/>
          </w:tblCellMar>
        </w:tblPrEx>
        <w:trPr>
          <w:trHeight w:val="276" w:hRule="atLeast"/>
          <w:jc w:val="center"/>
        </w:trPr>
        <w:tc>
          <w:tcPr>
            <w:tcW w:w="28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0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24"/>
                <w:szCs w:val="24"/>
              </w:rPr>
            </w:pPr>
            <w:r>
              <w:rPr>
                <w:rFonts w:hint="eastAsia" w:ascii="仿宋_GB2312" w:hAnsi="仿宋_GB2312" w:eastAsia="仿宋_GB2312" w:cs="仿宋_GB2312"/>
                <w:sz w:val="21"/>
                <w:szCs w:val="21"/>
                <w:lang w:eastAsia="zh-CN"/>
              </w:rPr>
              <w:t>流动巡查保障经费、2019年特殊林木培育基地等其他林业基础设施建设</w:t>
            </w:r>
          </w:p>
        </w:tc>
      </w:tr>
      <w:tr>
        <w:tblPrEx>
          <w:tblCellMar>
            <w:top w:w="0" w:type="dxa"/>
            <w:left w:w="0" w:type="dxa"/>
            <w:bottom w:w="0" w:type="dxa"/>
            <w:right w:w="0" w:type="dxa"/>
          </w:tblCellMar>
        </w:tblPrEx>
        <w:trPr>
          <w:trHeight w:val="276" w:hRule="atLeast"/>
          <w:jc w:val="center"/>
        </w:trPr>
        <w:tc>
          <w:tcPr>
            <w:tcW w:w="287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0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阿坝州木材检查站</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4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20.29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4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20.29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4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通过流动巡查，减少偷拉盗运数量</w:t>
            </w:r>
            <w:r>
              <w:rPr>
                <w:rFonts w:hint="eastAsia" w:ascii="宋体" w:hAnsi="宋体" w:cs="宋体"/>
                <w:color w:val="000000"/>
                <w:sz w:val="24"/>
                <w:lang w:eastAsia="zh-CN"/>
              </w:rPr>
              <w:t>，防止乱砍滥伐，保护森林资源安全，维护生态环境；</w:t>
            </w:r>
          </w:p>
          <w:p>
            <w:pPr>
              <w:widowControl/>
              <w:jc w:val="both"/>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执法手段现代化</w:t>
            </w:r>
            <w:r>
              <w:rPr>
                <w:rFonts w:hint="eastAsia" w:ascii="宋体" w:hAnsi="宋体" w:cs="宋体"/>
                <w:i w:val="0"/>
                <w:caps w:val="0"/>
                <w:color w:val="3D3D3D"/>
                <w:spacing w:val="0"/>
                <w:sz w:val="28"/>
                <w:szCs w:val="28"/>
                <w:shd w:val="clear" w:fill="FFFFFF"/>
                <w:lang w:eastAsia="zh-CN"/>
              </w:rPr>
              <w:t>，</w:t>
            </w:r>
            <w:r>
              <w:rPr>
                <w:rFonts w:hint="eastAsia" w:ascii="宋体" w:hAnsi="宋体" w:cs="宋体"/>
                <w:color w:val="000000"/>
                <w:sz w:val="24"/>
                <w:lang w:eastAsia="zh-CN"/>
              </w:rPr>
              <w:t>解决单位林业行政执法设施设备短缺问题。</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lang w:eastAsia="zh-CN"/>
              </w:rPr>
            </w:pPr>
            <w:r>
              <w:rPr>
                <w:rFonts w:hint="eastAsia" w:ascii="宋体" w:hAnsi="宋体" w:cs="宋体"/>
                <w:color w:val="000000"/>
                <w:sz w:val="24"/>
              </w:rPr>
              <w:t>通过流动巡查，</w:t>
            </w:r>
            <w:r>
              <w:rPr>
                <w:rFonts w:hint="eastAsia" w:ascii="宋体" w:hAnsi="宋体" w:cs="宋体"/>
                <w:color w:val="000000"/>
                <w:sz w:val="24"/>
                <w:lang w:eastAsia="zh-CN"/>
              </w:rPr>
              <w:t>对乱砍滥伐、</w:t>
            </w:r>
            <w:r>
              <w:rPr>
                <w:rFonts w:hint="eastAsia" w:ascii="宋体" w:hAnsi="宋体" w:cs="宋体"/>
                <w:color w:val="000000"/>
                <w:sz w:val="24"/>
              </w:rPr>
              <w:t>偷拉盗运</w:t>
            </w:r>
            <w:r>
              <w:rPr>
                <w:rFonts w:hint="eastAsia" w:ascii="宋体" w:hAnsi="宋体" w:cs="宋体"/>
                <w:color w:val="000000"/>
                <w:sz w:val="24"/>
                <w:lang w:eastAsia="zh-CN"/>
              </w:rPr>
              <w:t>等破坏森林资源的违法犯罪行为起到了震慑、宣传教育作用，保护了森林资源安全；</w:t>
            </w:r>
          </w:p>
          <w:p>
            <w:pPr>
              <w:widowControl/>
              <w:jc w:val="left"/>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解决了单位林业行政执法设施设备短缺问题。</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rPr>
              <w:t>数量指标</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24"/>
              </w:rPr>
            </w:pPr>
            <w:r>
              <w:rPr>
                <w:rFonts w:hint="eastAsia" w:ascii="宋体" w:hAnsi="宋体" w:cs="宋体"/>
                <w:color w:val="000000"/>
                <w:sz w:val="24"/>
              </w:rPr>
              <w:t>指标1：出勤</w:t>
            </w:r>
            <w:r>
              <w:rPr>
                <w:rFonts w:hint="eastAsia" w:ascii="宋体" w:hAnsi="宋体" w:cs="宋体"/>
                <w:color w:val="000000"/>
                <w:sz w:val="24"/>
                <w:lang w:eastAsia="zh-CN"/>
              </w:rPr>
              <w:t>次</w:t>
            </w:r>
            <w:r>
              <w:rPr>
                <w:rFonts w:hint="eastAsia" w:ascii="宋体" w:hAnsi="宋体" w:cs="宋体"/>
                <w:color w:val="000000"/>
                <w:sz w:val="24"/>
              </w:rPr>
              <w:t>数</w:t>
            </w:r>
          </w:p>
          <w:p>
            <w:pPr>
              <w:widowControl/>
              <w:jc w:val="left"/>
              <w:textAlignment w:val="center"/>
              <w:rPr>
                <w:rFonts w:ascii="宋体" w:hAnsi="宋体" w:cs="宋体"/>
                <w:color w:val="000000"/>
                <w:sz w:val="24"/>
              </w:rPr>
            </w:pPr>
            <w:r>
              <w:rPr>
                <w:rFonts w:hint="eastAsia" w:ascii="宋体" w:hAnsi="宋体" w:cs="宋体"/>
                <w:color w:val="000000"/>
                <w:sz w:val="24"/>
              </w:rPr>
              <w:t>指标2：检查可疑车辆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24"/>
              </w:rPr>
            </w:pPr>
            <w:r>
              <w:rPr>
                <w:rFonts w:hint="eastAsia" w:ascii="宋体" w:hAnsi="宋体" w:cs="宋体"/>
                <w:color w:val="000000"/>
                <w:sz w:val="24"/>
              </w:rPr>
              <w:t>每年</w:t>
            </w:r>
            <w:r>
              <w:rPr>
                <w:rFonts w:hint="eastAsia" w:ascii="宋体" w:hAnsi="宋体" w:cs="宋体"/>
                <w:color w:val="000000"/>
                <w:sz w:val="24"/>
                <w:lang w:eastAsia="zh-CN"/>
              </w:rPr>
              <w:t>出勤</w:t>
            </w:r>
            <w:r>
              <w:rPr>
                <w:rFonts w:hint="eastAsia" w:ascii="宋体" w:hAnsi="宋体" w:cs="宋体"/>
                <w:color w:val="000000"/>
                <w:sz w:val="24"/>
                <w:lang w:val="en-US" w:eastAsia="zh-CN"/>
              </w:rPr>
              <w:t>300次以上</w:t>
            </w:r>
          </w:p>
          <w:p>
            <w:pPr>
              <w:widowControl/>
              <w:jc w:val="both"/>
              <w:textAlignment w:val="center"/>
              <w:rPr>
                <w:rFonts w:hint="eastAsia" w:ascii="宋体" w:hAnsi="宋体" w:eastAsia="宋体" w:cs="宋体"/>
                <w:color w:val="000000"/>
                <w:sz w:val="24"/>
                <w:lang w:eastAsia="zh-CN"/>
              </w:rPr>
            </w:pPr>
            <w:r>
              <w:rPr>
                <w:rFonts w:hint="eastAsia" w:ascii="宋体" w:hAnsi="宋体" w:cs="宋体"/>
                <w:color w:val="000000"/>
                <w:sz w:val="24"/>
              </w:rPr>
              <w:t>每年达到</w:t>
            </w:r>
            <w:r>
              <w:rPr>
                <w:rFonts w:hint="eastAsia" w:ascii="宋体" w:hAnsi="宋体" w:cs="宋体"/>
                <w:color w:val="000000"/>
                <w:sz w:val="24"/>
                <w:lang w:val="en-US" w:eastAsia="zh-CN"/>
              </w:rPr>
              <w:t>3000</w:t>
            </w:r>
            <w:r>
              <w:rPr>
                <w:rFonts w:hint="eastAsia" w:ascii="宋体" w:hAnsi="宋体" w:cs="宋体"/>
                <w:color w:val="000000"/>
                <w:sz w:val="24"/>
              </w:rPr>
              <w:t>辆</w:t>
            </w:r>
            <w:r>
              <w:rPr>
                <w:rFonts w:hint="eastAsia" w:ascii="宋体" w:hAnsi="宋体" w:cs="宋体"/>
                <w:color w:val="000000"/>
                <w:sz w:val="24"/>
                <w:lang w:eastAsia="zh-CN"/>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基本</w:t>
            </w:r>
            <w:r>
              <w:rPr>
                <w:rFonts w:hint="eastAsia" w:ascii="宋体" w:hAnsi="宋体" w:cs="宋体"/>
                <w:color w:val="000000"/>
                <w:kern w:val="0"/>
                <w:sz w:val="24"/>
                <w:lang w:bidi="ar"/>
              </w:rPr>
              <w:t>完成</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24"/>
                <w:lang w:eastAsia="zh-CN"/>
              </w:rPr>
            </w:pPr>
            <w:r>
              <w:rPr>
                <w:rFonts w:hint="eastAsia" w:ascii="宋体" w:hAnsi="宋体" w:cs="宋体"/>
                <w:color w:val="000000"/>
                <w:sz w:val="24"/>
              </w:rPr>
              <w:t>减少偷拉盗运数量</w:t>
            </w:r>
            <w:r>
              <w:rPr>
                <w:rFonts w:hint="eastAsia" w:ascii="宋体" w:hAnsi="宋体" w:cs="宋体"/>
                <w:color w:val="000000"/>
                <w:sz w:val="24"/>
                <w:lang w:eastAsia="zh-CN"/>
              </w:rPr>
              <w:t>等破坏森林资源的违法犯罪行为；</w:t>
            </w:r>
          </w:p>
          <w:p>
            <w:pPr>
              <w:widowControl/>
              <w:jc w:val="both"/>
              <w:textAlignment w:val="center"/>
              <w:rPr>
                <w:rFonts w:hint="eastAsia" w:ascii="宋体" w:hAnsi="宋体" w:cs="宋体"/>
                <w:color w:val="000000"/>
                <w:sz w:val="24"/>
                <w:lang w:eastAsia="zh-CN"/>
              </w:rPr>
            </w:pPr>
            <w:r>
              <w:rPr>
                <w:rFonts w:hint="eastAsia" w:ascii="宋体" w:hAnsi="宋体" w:cs="宋体"/>
                <w:color w:val="000000"/>
                <w:sz w:val="24"/>
                <w:lang w:eastAsia="zh-CN"/>
              </w:rPr>
              <w:t>执法设备政府采购。</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rPr>
              <w:t>通过流动巡查，减少偷拉盗运</w:t>
            </w:r>
            <w:r>
              <w:rPr>
                <w:rFonts w:hint="eastAsia" w:ascii="宋体" w:hAnsi="宋体" w:cs="宋体"/>
                <w:color w:val="000000"/>
                <w:sz w:val="24"/>
                <w:lang w:eastAsia="zh-CN"/>
              </w:rPr>
              <w:t>等破坏森林资源的违法犯罪行为；</w:t>
            </w:r>
          </w:p>
          <w:p>
            <w:pPr>
              <w:widowControl/>
              <w:jc w:val="both"/>
              <w:textAlignment w:val="center"/>
              <w:rPr>
                <w:rFonts w:hint="eastAsia" w:ascii="宋体" w:hAnsi="宋体" w:cs="宋体"/>
                <w:color w:val="000000"/>
                <w:sz w:val="24"/>
                <w:lang w:eastAsia="zh-CN"/>
              </w:rPr>
            </w:pPr>
            <w:r>
              <w:rPr>
                <w:rFonts w:hint="eastAsia" w:ascii="宋体" w:hAnsi="宋体" w:cs="宋体"/>
                <w:color w:val="000000"/>
                <w:sz w:val="24"/>
                <w:lang w:eastAsia="zh-CN"/>
              </w:rPr>
              <w:t>按政府采购程序完成执法设备采购。</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2019年12月31日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lang w:bidi="ar"/>
              </w:rPr>
              <w:t>效益指标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经济效益</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罚没收入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为国家挽回</w:t>
            </w:r>
            <w:r>
              <w:rPr>
                <w:rFonts w:hint="eastAsia" w:ascii="宋体" w:hAnsi="宋体" w:cs="宋体"/>
                <w:color w:val="000000"/>
                <w:sz w:val="24"/>
                <w:lang w:eastAsia="zh-CN"/>
              </w:rPr>
              <w:t>部分</w:t>
            </w:r>
            <w:r>
              <w:rPr>
                <w:rFonts w:hint="eastAsia" w:ascii="宋体" w:hAnsi="宋体" w:cs="宋体"/>
                <w:color w:val="000000"/>
                <w:sz w:val="24"/>
              </w:rPr>
              <w:t>经济损失</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基本</w:t>
            </w:r>
            <w:r>
              <w:rPr>
                <w:rFonts w:hint="eastAsia" w:ascii="宋体" w:hAnsi="宋体" w:cs="宋体"/>
                <w:color w:val="000000"/>
                <w:kern w:val="0"/>
                <w:sz w:val="24"/>
                <w:lang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效益指标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可持续影响</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lang w:eastAsia="zh-CN"/>
              </w:rPr>
              <w:t>遏制非法运输木材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eastAsia" w:ascii="宋体" w:hAnsi="宋体" w:cs="宋体"/>
                <w:color w:val="000000"/>
                <w:sz w:val="24"/>
                <w:lang w:eastAsia="zh-CN"/>
              </w:rPr>
            </w:pPr>
            <w:r>
              <w:rPr>
                <w:rFonts w:hint="eastAsia" w:ascii="宋体" w:hAnsi="宋体" w:cs="宋体"/>
                <w:color w:val="000000"/>
                <w:sz w:val="24"/>
                <w:lang w:eastAsia="zh-CN"/>
              </w:rPr>
              <w:t>遏制非法运输木材流通起到积极作用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720" w:firstLineChars="300"/>
              <w:jc w:val="both"/>
              <w:textAlignment w:val="center"/>
              <w:rPr>
                <w:rFonts w:hint="eastAsia" w:ascii="宋体" w:hAnsi="宋体" w:cs="宋体"/>
                <w:color w:val="000000"/>
                <w:sz w:val="24"/>
                <w:lang w:eastAsia="zh-CN"/>
              </w:rPr>
            </w:pPr>
            <w:r>
              <w:rPr>
                <w:rFonts w:hint="eastAsia" w:ascii="宋体" w:hAnsi="宋体" w:cs="宋体"/>
                <w:color w:val="000000"/>
                <w:kern w:val="0"/>
                <w:sz w:val="24"/>
                <w:lang w:eastAsia="zh-CN" w:bidi="ar"/>
              </w:rPr>
              <w:t>基本</w:t>
            </w:r>
            <w:r>
              <w:rPr>
                <w:rFonts w:hint="eastAsia" w:ascii="宋体" w:hAnsi="宋体" w:cs="宋体"/>
                <w:color w:val="000000"/>
                <w:kern w:val="0"/>
                <w:sz w:val="24"/>
                <w:lang w:bidi="ar"/>
              </w:rPr>
              <w:t>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遏制非法运输</w:t>
            </w:r>
          </w:p>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lang w:eastAsia="zh-CN"/>
              </w:rPr>
              <w:t>环境保护意识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rPr>
            </w:pPr>
            <w:r>
              <w:rPr>
                <w:rFonts w:hint="eastAsia"/>
              </w:rPr>
              <w:t>遏制非法运输、保护森林资源</w:t>
            </w:r>
            <w:r>
              <w:rPr>
                <w:rFonts w:hint="eastAsia"/>
                <w:lang w:eastAsia="zh-CN"/>
              </w:rPr>
              <w:t>，群众</w:t>
            </w:r>
            <w:r>
              <w:rPr>
                <w:rFonts w:hint="eastAsia" w:ascii="宋体" w:hAnsi="宋体" w:cs="宋体"/>
                <w:color w:val="000000"/>
                <w:sz w:val="24"/>
                <w:lang w:eastAsia="zh-CN"/>
              </w:rPr>
              <w:t>环境保护意识增强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基本</w:t>
            </w:r>
            <w:r>
              <w:rPr>
                <w:rFonts w:hint="eastAsia" w:ascii="宋体" w:hAnsi="宋体" w:cs="宋体"/>
                <w:color w:val="000000"/>
                <w:kern w:val="0"/>
                <w:sz w:val="24"/>
                <w:lang w:bidi="ar"/>
              </w:rPr>
              <w:t>完成</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2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2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公众满意度得到提升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rPr>
              <w:t>通过执法、普法使公众满意度得到提升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bidi="ar"/>
              </w:rPr>
              <w:t>基本</w:t>
            </w:r>
            <w:r>
              <w:rPr>
                <w:rFonts w:hint="eastAsia" w:ascii="宋体" w:hAnsi="宋体" w:cs="宋体"/>
                <w:color w:val="000000"/>
                <w:kern w:val="0"/>
                <w:sz w:val="24"/>
                <w:lang w:bidi="ar"/>
              </w:rPr>
              <w:t>完成</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hAnsi="仿宋_GB2312" w:eastAsia="仿宋_GB2312" w:cs="仿宋_GB2312"/>
          <w:sz w:val="32"/>
          <w:szCs w:val="32"/>
          <w:lang w:eastAsia="zh-CN"/>
        </w:rPr>
        <w:t>阿坝州木材检查站</w:t>
      </w:r>
      <w:r>
        <w:rPr>
          <w:rFonts w:hint="eastAsia" w:ascii="仿宋_GB2312" w:hAnsi="仿宋_GB2312" w:eastAsia="仿宋_GB2312" w:cs="仿宋_GB2312"/>
          <w:sz w:val="32"/>
          <w:szCs w:val="32"/>
        </w:rPr>
        <w:t>2019年部门整体支出绩效评价报告》见附件（附件1）。</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eastAsia="zh-CN"/>
        </w:rPr>
        <w:t>流动巡查保障经费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2019年特殊林木培育基地等其他林业基础设施建设</w:t>
      </w:r>
      <w:r>
        <w:rPr>
          <w:rFonts w:hint="eastAsia" w:ascii="仿宋_GB2312" w:hAnsi="仿宋_GB2312" w:eastAsia="仿宋_GB2312" w:cs="仿宋_GB2312"/>
          <w:sz w:val="32"/>
          <w:szCs w:val="32"/>
        </w:rPr>
        <w:t>项目开展了绩效评价，《</w:t>
      </w:r>
      <w:r>
        <w:rPr>
          <w:rFonts w:hint="eastAsia" w:ascii="仿宋_GB2312" w:hAnsi="仿宋_GB2312" w:eastAsia="仿宋_GB2312" w:cs="仿宋_GB2312"/>
          <w:sz w:val="32"/>
          <w:szCs w:val="32"/>
          <w:lang w:eastAsia="zh-CN"/>
        </w:rPr>
        <w:t>流动巡查保障经费</w:t>
      </w:r>
      <w:r>
        <w:rPr>
          <w:rFonts w:hint="eastAsia" w:ascii="仿宋_GB2312" w:hAnsi="仿宋_GB2312" w:eastAsia="仿宋_GB2312" w:cs="仿宋_GB2312"/>
          <w:sz w:val="32"/>
          <w:szCs w:val="32"/>
        </w:rPr>
        <w:t>项目2019年绩效评价报告》见附件（附件2）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2019年特殊林木培育基地等其他林业基础设施建设</w:t>
      </w:r>
      <w:r>
        <w:rPr>
          <w:rFonts w:hint="eastAsia" w:ascii="仿宋_GB2312" w:hAnsi="仿宋_GB2312" w:eastAsia="仿宋_GB2312" w:cs="仿宋_GB2312"/>
          <w:sz w:val="32"/>
          <w:szCs w:val="32"/>
        </w:rPr>
        <w:t>项目2019年绩效评价报告》见附件（附件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阿坝州木材检查站</w:t>
      </w:r>
    </w:p>
    <w:p>
      <w:pPr>
        <w:spacing w:line="600" w:lineRule="exact"/>
        <w:jc w:val="center"/>
        <w:rPr>
          <w:rFonts w:ascii="黑体" w:hAnsi="宋体" w:eastAsia="黑体" w:cs="宋体"/>
          <w:color w:val="000000"/>
          <w:kern w:val="0"/>
          <w:sz w:val="24"/>
          <w:szCs w:val="32"/>
          <w:shd w:val="clear" w:color="auto" w:fill="FFFFFF"/>
        </w:rPr>
      </w:pP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pStyle w:val="12"/>
        <w:keepNext w:val="0"/>
        <w:keepLines w:val="0"/>
        <w:widowControl/>
        <w:numPr>
          <w:ilvl w:val="0"/>
          <w:numId w:val="0"/>
        </w:numPr>
        <w:suppressLineNumbers w:val="0"/>
        <w:spacing w:before="0" w:beforeAutospacing="0" w:after="0" w:afterAutospacing="0" w:line="448" w:lineRule="atLeast"/>
        <w:ind w:right="0" w:rightChars="0" w:firstLine="320" w:firstLineChars="100"/>
        <w:jc w:val="both"/>
        <w:rPr>
          <w:rFonts w:hint="eastAsia" w:ascii="仿宋_GB2312" w:hAnsi="宋体" w:eastAsia="仿宋_GB2312" w:cs="宋体"/>
          <w:color w:val="000000"/>
          <w:kern w:val="0"/>
          <w:sz w:val="32"/>
          <w:szCs w:val="32"/>
          <w:lang w:val="zh-CN" w:eastAsia="zh-CN" w:bidi="ar-SA"/>
        </w:rPr>
      </w:pPr>
      <w:r>
        <w:rPr>
          <w:rFonts w:hint="eastAsia" w:ascii="仿宋_GB2312" w:hAnsi="宋体" w:eastAsia="仿宋_GB2312" w:cs="宋体"/>
          <w:color w:val="000000"/>
          <w:kern w:val="0"/>
          <w:sz w:val="32"/>
          <w:szCs w:val="32"/>
          <w:lang w:val="en-US" w:eastAsia="zh-CN" w:bidi="ar-SA"/>
        </w:rPr>
        <w:t>（一）</w:t>
      </w:r>
      <w:r>
        <w:rPr>
          <w:rFonts w:hint="eastAsia" w:ascii="仿宋_GB2312" w:hAnsi="宋体" w:eastAsia="仿宋_GB2312" w:cs="宋体"/>
          <w:color w:val="000000"/>
          <w:kern w:val="0"/>
          <w:sz w:val="32"/>
          <w:szCs w:val="32"/>
          <w:lang w:val="zh-CN" w:eastAsia="zh-CN" w:bidi="ar-SA"/>
        </w:rPr>
        <w:t>机构组成情况</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阿坝州木材检查站（原阿坝州漩口木材检查站，2005年经阿坝州编委批准与阿坝州林业局映秀木材服务站</w:t>
      </w:r>
      <w:r>
        <w:rPr>
          <w:rFonts w:hint="eastAsia" w:ascii="仿宋" w:hAnsi="仿宋" w:eastAsia="仿宋" w:cs="仿宋"/>
          <w:sz w:val="30"/>
          <w:szCs w:val="30"/>
          <w:lang w:eastAsia="zh-CN"/>
        </w:rPr>
        <w:t>及直属五站</w:t>
      </w:r>
      <w:r>
        <w:rPr>
          <w:rFonts w:hint="eastAsia" w:ascii="仿宋" w:hAnsi="仿宋" w:eastAsia="仿宋" w:cs="仿宋"/>
          <w:sz w:val="30"/>
          <w:szCs w:val="30"/>
        </w:rPr>
        <w:t xml:space="preserve">合并，成立阿坝州木材检查总站）始建于1972年， </w:t>
      </w:r>
      <w:r>
        <w:rPr>
          <w:rFonts w:hint="eastAsia" w:ascii="仿宋" w:hAnsi="仿宋" w:eastAsia="仿宋" w:cs="仿宋"/>
          <w:sz w:val="30"/>
          <w:szCs w:val="30"/>
          <w:lang w:eastAsia="zh-CN"/>
        </w:rPr>
        <w:t>经过多次搬迁后于</w:t>
      </w:r>
      <w:r>
        <w:rPr>
          <w:rFonts w:hint="eastAsia" w:ascii="仿宋" w:hAnsi="仿宋" w:eastAsia="仿宋" w:cs="仿宋"/>
          <w:sz w:val="30"/>
          <w:szCs w:val="30"/>
          <w:lang w:val="en-US" w:eastAsia="zh-CN"/>
        </w:rPr>
        <w:t>2012年7月迁至汶川县威州镇，</w:t>
      </w:r>
      <w:r>
        <w:rPr>
          <w:rFonts w:hint="eastAsia" w:ascii="仿宋" w:hAnsi="仿宋" w:eastAsia="仿宋" w:cs="仿宋"/>
          <w:sz w:val="30"/>
          <w:szCs w:val="30"/>
        </w:rPr>
        <w:t>现</w:t>
      </w:r>
      <w:r>
        <w:rPr>
          <w:rFonts w:hint="eastAsia" w:ascii="仿宋" w:hAnsi="仿宋" w:eastAsia="仿宋" w:cs="仿宋"/>
          <w:sz w:val="30"/>
          <w:szCs w:val="30"/>
          <w:lang w:eastAsia="zh-CN"/>
        </w:rPr>
        <w:t>总站</w:t>
      </w:r>
      <w:r>
        <w:rPr>
          <w:rFonts w:hint="eastAsia" w:ascii="仿宋" w:hAnsi="仿宋" w:eastAsia="仿宋" w:cs="仿宋"/>
          <w:sz w:val="30"/>
          <w:szCs w:val="30"/>
        </w:rPr>
        <w:t>站址设在汶川县威州镇</w:t>
      </w:r>
      <w:r>
        <w:rPr>
          <w:rFonts w:hint="eastAsia" w:ascii="仿宋" w:hAnsi="仿宋" w:eastAsia="仿宋" w:cs="仿宋"/>
          <w:sz w:val="30"/>
          <w:szCs w:val="30"/>
          <w:lang w:eastAsia="zh-CN"/>
        </w:rPr>
        <w:t>西街</w:t>
      </w:r>
      <w:r>
        <w:rPr>
          <w:rFonts w:hint="eastAsia" w:ascii="仿宋" w:hAnsi="仿宋" w:eastAsia="仿宋" w:cs="仿宋"/>
          <w:sz w:val="30"/>
          <w:szCs w:val="30"/>
          <w:lang w:val="en-US" w:eastAsia="zh-CN"/>
        </w:rPr>
        <w:t>21号。2019年7月按阿编发（2019）66号文件机构改革，更名为“</w:t>
      </w:r>
      <w:r>
        <w:rPr>
          <w:rFonts w:hint="eastAsia" w:ascii="仿宋" w:hAnsi="仿宋" w:eastAsia="仿宋" w:cs="仿宋"/>
          <w:sz w:val="30"/>
          <w:szCs w:val="30"/>
        </w:rPr>
        <w:t>阿坝州木材检查站</w:t>
      </w:r>
      <w:r>
        <w:rPr>
          <w:rFonts w:hint="eastAsia" w:ascii="仿宋" w:hAnsi="仿宋" w:eastAsia="仿宋" w:cs="仿宋"/>
          <w:sz w:val="30"/>
          <w:szCs w:val="30"/>
          <w:lang w:val="en-US" w:eastAsia="zh-CN"/>
        </w:rPr>
        <w:t>”，</w:t>
      </w:r>
      <w:r>
        <w:rPr>
          <w:rFonts w:hint="eastAsia" w:ascii="仿宋" w:hAnsi="仿宋" w:eastAsia="仿宋" w:cs="仿宋"/>
          <w:sz w:val="30"/>
          <w:szCs w:val="30"/>
        </w:rPr>
        <w:t>人员编制</w:t>
      </w:r>
      <w:r>
        <w:rPr>
          <w:rFonts w:hint="eastAsia" w:ascii="仿宋" w:hAnsi="仿宋" w:eastAsia="仿宋" w:cs="仿宋"/>
          <w:sz w:val="30"/>
          <w:szCs w:val="30"/>
          <w:lang w:val="en-US" w:eastAsia="zh-CN"/>
        </w:rPr>
        <w:t>19</w:t>
      </w:r>
      <w:r>
        <w:rPr>
          <w:rFonts w:hint="eastAsia" w:ascii="仿宋" w:hAnsi="仿宋" w:eastAsia="仿宋" w:cs="仿宋"/>
          <w:sz w:val="30"/>
          <w:szCs w:val="30"/>
        </w:rPr>
        <w:t>人，</w:t>
      </w:r>
      <w:r>
        <w:rPr>
          <w:rFonts w:hint="eastAsia" w:ascii="仿宋" w:hAnsi="仿宋" w:eastAsia="仿宋" w:cs="仿宋"/>
          <w:sz w:val="30"/>
          <w:szCs w:val="30"/>
          <w:lang w:eastAsia="zh-CN"/>
        </w:rPr>
        <w:t>车辆编制</w:t>
      </w:r>
      <w:r>
        <w:rPr>
          <w:rFonts w:hint="eastAsia" w:ascii="仿宋" w:hAnsi="仿宋" w:eastAsia="仿宋" w:cs="仿宋"/>
          <w:sz w:val="30"/>
          <w:szCs w:val="30"/>
          <w:lang w:val="en-US" w:eastAsia="zh-CN"/>
        </w:rPr>
        <w:t>2辆，</w:t>
      </w:r>
      <w:r>
        <w:rPr>
          <w:rFonts w:hint="eastAsia" w:ascii="仿宋" w:hAnsi="仿宋" w:eastAsia="仿宋" w:cs="仿宋"/>
          <w:sz w:val="30"/>
          <w:szCs w:val="30"/>
        </w:rPr>
        <w:t>主管部门为阿坝州林</w:t>
      </w:r>
      <w:r>
        <w:rPr>
          <w:rFonts w:hint="eastAsia" w:ascii="仿宋" w:hAnsi="仿宋" w:eastAsia="仿宋" w:cs="仿宋"/>
          <w:sz w:val="30"/>
          <w:szCs w:val="30"/>
          <w:lang w:eastAsia="zh-CN"/>
        </w:rPr>
        <w:t>草</w:t>
      </w:r>
      <w:r>
        <w:rPr>
          <w:rFonts w:hint="eastAsia" w:ascii="仿宋" w:hAnsi="仿宋" w:eastAsia="仿宋" w:cs="仿宋"/>
          <w:sz w:val="30"/>
          <w:szCs w:val="30"/>
        </w:rPr>
        <w:t>局，属全额财政拨款事业单位。</w:t>
      </w:r>
    </w:p>
    <w:p>
      <w:pPr>
        <w:pStyle w:val="12"/>
        <w:keepNext w:val="0"/>
        <w:keepLines w:val="0"/>
        <w:widowControl/>
        <w:numPr>
          <w:ilvl w:val="0"/>
          <w:numId w:val="0"/>
        </w:numPr>
        <w:suppressLineNumbers w:val="0"/>
        <w:spacing w:before="0" w:beforeAutospacing="0" w:after="0" w:afterAutospacing="0" w:line="448" w:lineRule="atLeast"/>
        <w:ind w:right="0" w:rightChars="0" w:firstLine="320" w:firstLineChars="100"/>
        <w:jc w:val="both"/>
        <w:rPr>
          <w:rFonts w:hint="eastAsia" w:ascii="仿宋_GB2312" w:hAnsi="宋体" w:eastAsia="仿宋_GB2312" w:cs="宋体"/>
          <w:color w:val="000000"/>
          <w:kern w:val="0"/>
          <w:sz w:val="32"/>
          <w:szCs w:val="32"/>
          <w:lang w:val="zh-CN" w:eastAsia="zh-CN" w:bidi="ar-SA"/>
        </w:rPr>
      </w:pPr>
      <w:r>
        <w:rPr>
          <w:rFonts w:hint="eastAsia" w:ascii="仿宋_GB2312" w:hAnsi="宋体" w:eastAsia="仿宋_GB2312" w:cs="宋体"/>
          <w:color w:val="000000"/>
          <w:kern w:val="0"/>
          <w:sz w:val="32"/>
          <w:szCs w:val="32"/>
          <w:lang w:val="zh-CN" w:eastAsia="zh-CN" w:bidi="ar-SA"/>
        </w:rPr>
        <w:t>（二）机构职能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是宣传、执行《中华人民共和国森林法》、《中华人民共和国野生动物保护法》、《植物检疫条例》和国家、省、市有关木材运输检查监督的法规、政策；二是依法检查运输木材、林产品和野生动、植物及其产品运输证件，制止违法运输，在委托范围内查处违法运输的木材、林产品和野生动、植物及其产品；三是根据林业行政主管部门或其它有关单位的依法委托，履行相应的职责；四是完成上级交办的各项工作任务。</w:t>
      </w:r>
    </w:p>
    <w:p>
      <w:pPr>
        <w:pStyle w:val="12"/>
        <w:keepNext w:val="0"/>
        <w:keepLines w:val="0"/>
        <w:widowControl/>
        <w:numPr>
          <w:ilvl w:val="0"/>
          <w:numId w:val="0"/>
        </w:numPr>
        <w:suppressLineNumbers w:val="0"/>
        <w:spacing w:before="0" w:beforeAutospacing="0" w:after="0" w:afterAutospacing="0" w:line="448" w:lineRule="atLeast"/>
        <w:ind w:right="0" w:rightChars="0" w:firstLine="320" w:firstLineChars="100"/>
        <w:jc w:val="both"/>
        <w:rPr>
          <w:rFonts w:hint="eastAsia" w:ascii="仿宋_GB2312" w:hAnsi="宋体" w:eastAsia="仿宋_GB2312" w:cs="宋体"/>
          <w:color w:val="000000"/>
          <w:kern w:val="0"/>
          <w:sz w:val="32"/>
          <w:szCs w:val="32"/>
          <w:lang w:val="zh-CN" w:eastAsia="zh-CN" w:bidi="ar-SA"/>
        </w:rPr>
      </w:pPr>
      <w:r>
        <w:rPr>
          <w:rFonts w:hint="eastAsia" w:ascii="仿宋_GB2312" w:hAnsi="宋体" w:eastAsia="仿宋_GB2312" w:cs="宋体"/>
          <w:color w:val="000000"/>
          <w:kern w:val="0"/>
          <w:sz w:val="32"/>
          <w:szCs w:val="32"/>
          <w:lang w:val="zh-CN" w:eastAsia="zh-CN" w:bidi="ar-SA"/>
        </w:rPr>
        <w:t>（三）人员概况</w:t>
      </w:r>
    </w:p>
    <w:p>
      <w:pPr>
        <w:pStyle w:val="12"/>
        <w:keepNext w:val="0"/>
        <w:keepLines w:val="0"/>
        <w:widowControl/>
        <w:numPr>
          <w:ilvl w:val="0"/>
          <w:numId w:val="0"/>
        </w:numPr>
        <w:suppressLineNumbers w:val="0"/>
        <w:spacing w:before="0" w:beforeAutospacing="0" w:after="0" w:afterAutospacing="0" w:line="448" w:lineRule="atLeast"/>
        <w:ind w:leftChars="200" w:right="0" w:rightChars="0" w:firstLine="300" w:firstLineChars="100"/>
        <w:jc w:val="both"/>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编制人数19人，截止2019年12月31日，实有在职职工18人，若尔盖热当坝州木材检查站1人，汶川站17人。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numPr>
          <w:ilvl w:val="0"/>
          <w:numId w:val="6"/>
        </w:numPr>
        <w:spacing w:line="600" w:lineRule="exact"/>
        <w:ind w:left="280" w:leftChars="0" w:firstLine="0" w:firstLineChars="0"/>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部门财政资金收入情况</w:t>
      </w:r>
    </w:p>
    <w:p>
      <w:pPr>
        <w:widowControl/>
        <w:numPr>
          <w:ilvl w:val="0"/>
          <w:numId w:val="0"/>
        </w:numPr>
        <w:spacing w:line="600" w:lineRule="exact"/>
        <w:ind w:firstLine="640" w:firstLineChars="200"/>
        <w:rPr>
          <w:rFonts w:hint="default" w:ascii="仿宋" w:hAnsi="仿宋" w:eastAsia="仿宋_GB2312" w:cs="仿宋"/>
          <w:b w:val="0"/>
          <w:i w:val="0"/>
          <w:caps w:val="0"/>
          <w:color w:val="000000"/>
          <w:spacing w:val="-2"/>
          <w:kern w:val="0"/>
          <w:sz w:val="30"/>
          <w:szCs w:val="30"/>
          <w:highlight w:val="none"/>
          <w:lang w:val="en-US" w:eastAsia="zh-CN" w:bidi="ar"/>
        </w:rPr>
      </w:pPr>
      <w:r>
        <w:rPr>
          <w:rFonts w:hint="eastAsia" w:ascii="仿宋_GB2312" w:hAnsi="仿宋" w:eastAsia="仿宋_GB2312" w:cs="仿宋"/>
          <w:kern w:val="0"/>
          <w:sz w:val="32"/>
          <w:szCs w:val="32"/>
          <w:lang w:bidi="ar"/>
        </w:rPr>
        <w:t>阿坝州木材检查站2019年收入合计448.55万元，其中财政拨款收入448.55万元，占总收入的100%；与上年对比</w:t>
      </w:r>
      <w:r>
        <w:rPr>
          <w:rFonts w:hint="eastAsia" w:ascii="仿宋_GB2312" w:hAnsi="仿宋" w:eastAsia="仿宋_GB2312" w:cs="仿宋"/>
          <w:kern w:val="0"/>
          <w:sz w:val="32"/>
          <w:szCs w:val="32"/>
          <w:lang w:eastAsia="zh-CN" w:bidi="ar"/>
        </w:rPr>
        <w:t>减少</w:t>
      </w:r>
      <w:r>
        <w:rPr>
          <w:rFonts w:hint="eastAsia" w:ascii="仿宋_GB2312" w:hAnsi="仿宋" w:eastAsia="仿宋_GB2312" w:cs="仿宋"/>
          <w:kern w:val="0"/>
          <w:sz w:val="32"/>
          <w:szCs w:val="32"/>
          <w:lang w:bidi="ar"/>
        </w:rPr>
        <w:t>156.83万元，减幅25%，主要是</w:t>
      </w:r>
      <w:r>
        <w:rPr>
          <w:rFonts w:hint="eastAsia" w:ascii="仿宋_GB2312" w:hAnsi="仿宋" w:eastAsia="仿宋_GB2312" w:cs="仿宋"/>
          <w:kern w:val="0"/>
          <w:sz w:val="32"/>
          <w:szCs w:val="32"/>
          <w:lang w:eastAsia="zh-CN" w:bidi="ar"/>
        </w:rPr>
        <w:t>由于</w:t>
      </w:r>
      <w:r>
        <w:rPr>
          <w:rFonts w:hint="eastAsia" w:ascii="仿宋_GB2312" w:hAnsi="仿宋" w:eastAsia="仿宋_GB2312" w:cs="仿宋"/>
          <w:kern w:val="0"/>
          <w:sz w:val="32"/>
          <w:szCs w:val="32"/>
          <w:lang w:bidi="ar"/>
        </w:rPr>
        <w:t>机构改革，人员调整</w:t>
      </w:r>
      <w:r>
        <w:rPr>
          <w:rFonts w:hint="eastAsia" w:ascii="仿宋_GB2312" w:hAnsi="仿宋" w:eastAsia="仿宋_GB2312" w:cs="仿宋"/>
          <w:kern w:val="0"/>
          <w:sz w:val="32"/>
          <w:szCs w:val="32"/>
          <w:lang w:eastAsia="zh-CN" w:bidi="ar"/>
        </w:rPr>
        <w:t>（减少</w:t>
      </w:r>
      <w:r>
        <w:rPr>
          <w:rFonts w:hint="eastAsia" w:ascii="仿宋_GB2312" w:hAnsi="仿宋" w:eastAsia="仿宋_GB2312" w:cs="仿宋"/>
          <w:kern w:val="0"/>
          <w:sz w:val="32"/>
          <w:szCs w:val="32"/>
          <w:lang w:val="en-US" w:eastAsia="zh-CN" w:bidi="ar"/>
        </w:rPr>
        <w:t>13人</w:t>
      </w: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bidi="ar"/>
        </w:rPr>
        <w:t>。</w:t>
      </w:r>
    </w:p>
    <w:p>
      <w:pPr>
        <w:widowControl/>
        <w:numPr>
          <w:ilvl w:val="0"/>
          <w:numId w:val="0"/>
        </w:numPr>
        <w:spacing w:line="600" w:lineRule="exact"/>
        <w:ind w:firstLine="320" w:firstLineChars="100"/>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（二）部门财政资金支出情况</w:t>
      </w:r>
    </w:p>
    <w:p>
      <w:pPr>
        <w:pStyle w:val="12"/>
        <w:widowControl/>
        <w:spacing w:before="105" w:beforeAutospacing="0" w:after="105" w:afterAutospacing="0" w:line="600" w:lineRule="atLeast"/>
        <w:ind w:firstLine="600"/>
        <w:rPr>
          <w:rFonts w:hint="default" w:ascii="仿宋_GB2312" w:hAnsi="仿宋" w:eastAsia="仿宋_GB2312" w:cs="仿宋"/>
          <w:kern w:val="2"/>
          <w:sz w:val="32"/>
          <w:szCs w:val="32"/>
          <w:lang w:val="en-US"/>
        </w:rPr>
      </w:pPr>
      <w:r>
        <w:rPr>
          <w:rFonts w:hint="eastAsia" w:ascii="仿宋" w:hAnsi="仿宋" w:eastAsia="仿宋" w:cs="仿宋"/>
          <w:b w:val="0"/>
          <w:i w:val="0"/>
          <w:caps w:val="0"/>
          <w:color w:val="000000"/>
          <w:spacing w:val="-2"/>
          <w:kern w:val="0"/>
          <w:sz w:val="30"/>
          <w:szCs w:val="30"/>
          <w:highlight w:val="none"/>
          <w:lang w:val="en-US" w:eastAsia="zh-CN" w:bidi="ar"/>
        </w:rPr>
        <w:t xml:space="preserve">  </w:t>
      </w:r>
      <w:r>
        <w:rPr>
          <w:rFonts w:hint="eastAsia" w:ascii="仿宋_GB2312" w:hAnsi="仿宋" w:eastAsia="仿宋_GB2312" w:cs="仿宋"/>
          <w:kern w:val="0"/>
          <w:sz w:val="32"/>
          <w:szCs w:val="32"/>
          <w:lang w:bidi="ar"/>
        </w:rPr>
        <w:t>阿坝州木材检查站</w:t>
      </w:r>
      <w:r>
        <w:rPr>
          <w:rFonts w:hint="eastAsia" w:ascii="仿宋_GB2312" w:hAnsi="仿宋" w:eastAsia="仿宋_GB2312" w:cs="仿宋"/>
          <w:kern w:val="2"/>
          <w:sz w:val="32"/>
          <w:szCs w:val="32"/>
        </w:rPr>
        <w:t>2019年度</w:t>
      </w:r>
      <w:r>
        <w:rPr>
          <w:rFonts w:hint="eastAsia" w:ascii="仿宋_GB2312" w:hAnsi="仿宋" w:eastAsia="仿宋_GB2312" w:cs="仿宋"/>
          <w:kern w:val="2"/>
          <w:sz w:val="32"/>
          <w:szCs w:val="32"/>
          <w:lang w:eastAsia="zh-CN"/>
        </w:rPr>
        <w:t>合计支出</w:t>
      </w:r>
      <w:r>
        <w:rPr>
          <w:rFonts w:hint="eastAsia" w:ascii="仿宋_GB2312" w:hAnsi="仿宋" w:eastAsia="仿宋_GB2312" w:cs="仿宋"/>
          <w:kern w:val="2"/>
          <w:sz w:val="32"/>
          <w:szCs w:val="32"/>
          <w:lang w:val="en-US" w:eastAsia="zh-CN"/>
        </w:rPr>
        <w:t>577.49万元。其中：</w:t>
      </w:r>
      <w:r>
        <w:rPr>
          <w:rFonts w:hint="eastAsia" w:ascii="仿宋_GB2312" w:hAnsi="仿宋" w:eastAsia="仿宋_GB2312" w:cs="仿宋"/>
          <w:kern w:val="2"/>
          <w:sz w:val="32"/>
          <w:szCs w:val="32"/>
        </w:rPr>
        <w:t>用于保障机构正常运转的基本支出557.19万元，占总支出的96%，与上年对比减少29.45万元,减幅5%，主要原因为人员调整工资变动。项目支出20.29万元，占总支出的4%，与上年对比增加0.67万元,增幅1%；</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numPr>
          <w:ilvl w:val="0"/>
          <w:numId w:val="0"/>
        </w:numPr>
        <w:spacing w:line="600" w:lineRule="exact"/>
        <w:ind w:left="280" w:leftChars="0" w:firstLine="592" w:firstLineChars="200"/>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1、预算编制情况</w:t>
      </w:r>
    </w:p>
    <w:p>
      <w:pPr>
        <w:widowControl/>
        <w:numPr>
          <w:ilvl w:val="0"/>
          <w:numId w:val="0"/>
        </w:numPr>
        <w:spacing w:line="600" w:lineRule="exact"/>
        <w:ind w:left="280" w:leftChars="0"/>
        <w:rPr>
          <w:rFonts w:hint="eastAsia" w:ascii="仿宋" w:hAnsi="仿宋" w:eastAsia="仿宋" w:cs="仿宋"/>
          <w:b w:val="0"/>
          <w:i w:val="0"/>
          <w:caps w:val="0"/>
          <w:color w:val="FF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 xml:space="preserve">    </w:t>
      </w:r>
      <w:r>
        <w:rPr>
          <w:rFonts w:hint="eastAsia" w:ascii="仿宋" w:hAnsi="仿宋" w:eastAsia="仿宋" w:cs="仿宋"/>
          <w:b w:val="0"/>
          <w:i w:val="0"/>
          <w:caps w:val="0"/>
          <w:color w:val="000000"/>
          <w:spacing w:val="0"/>
          <w:sz w:val="30"/>
          <w:szCs w:val="30"/>
          <w:shd w:val="clear" w:fill="FFFFFF"/>
          <w:lang w:eastAsia="zh-CN"/>
        </w:rPr>
        <w:t>州木材检查站严格按照阿州财预（</w:t>
      </w:r>
      <w:r>
        <w:rPr>
          <w:rFonts w:hint="eastAsia" w:ascii="仿宋" w:hAnsi="仿宋" w:eastAsia="仿宋" w:cs="仿宋"/>
          <w:b w:val="0"/>
          <w:i w:val="0"/>
          <w:caps w:val="0"/>
          <w:color w:val="000000"/>
          <w:spacing w:val="0"/>
          <w:sz w:val="30"/>
          <w:szCs w:val="30"/>
          <w:shd w:val="clear" w:fill="FFFFFF"/>
          <w:lang w:val="en-US" w:eastAsia="zh-CN"/>
        </w:rPr>
        <w:t>2019</w:t>
      </w:r>
      <w:r>
        <w:rPr>
          <w:rFonts w:hint="eastAsia" w:ascii="仿宋" w:hAnsi="仿宋" w:eastAsia="仿宋" w:cs="仿宋"/>
          <w:b w:val="0"/>
          <w:i w:val="0"/>
          <w:caps w:val="0"/>
          <w:color w:val="000000"/>
          <w:spacing w:val="0"/>
          <w:sz w:val="30"/>
          <w:szCs w:val="30"/>
          <w:shd w:val="clear" w:fill="FFFFFF"/>
          <w:lang w:eastAsia="zh-CN"/>
        </w:rPr>
        <w:t>）</w:t>
      </w:r>
      <w:r>
        <w:rPr>
          <w:rFonts w:hint="eastAsia" w:ascii="仿宋" w:hAnsi="仿宋" w:eastAsia="仿宋" w:cs="仿宋"/>
          <w:b w:val="0"/>
          <w:i w:val="0"/>
          <w:caps w:val="0"/>
          <w:color w:val="000000"/>
          <w:spacing w:val="0"/>
          <w:sz w:val="30"/>
          <w:szCs w:val="30"/>
          <w:shd w:val="clear" w:fill="FFFFFF"/>
          <w:lang w:val="en-US" w:eastAsia="zh-CN"/>
        </w:rPr>
        <w:t>78号《</w:t>
      </w:r>
      <w:r>
        <w:rPr>
          <w:rFonts w:hint="eastAsia" w:ascii="仿宋" w:hAnsi="仿宋" w:eastAsia="仿宋" w:cs="仿宋"/>
          <w:b w:val="0"/>
          <w:i w:val="0"/>
          <w:caps w:val="0"/>
          <w:color w:val="000000"/>
          <w:spacing w:val="0"/>
          <w:sz w:val="30"/>
          <w:szCs w:val="30"/>
          <w:shd w:val="clear" w:fill="FFFFFF"/>
          <w:lang w:eastAsia="zh-CN"/>
        </w:rPr>
        <w:t>关于编制州级</w:t>
      </w:r>
      <w:r>
        <w:rPr>
          <w:rFonts w:hint="eastAsia" w:ascii="仿宋" w:hAnsi="仿宋" w:eastAsia="仿宋" w:cs="仿宋"/>
          <w:b w:val="0"/>
          <w:i w:val="0"/>
          <w:caps w:val="0"/>
          <w:color w:val="000000"/>
          <w:spacing w:val="0"/>
          <w:sz w:val="30"/>
          <w:szCs w:val="30"/>
          <w:shd w:val="clear" w:fill="FFFFFF"/>
          <w:lang w:val="en-US" w:eastAsia="zh-CN"/>
        </w:rPr>
        <w:t>2020-2022年支出规划和2020年</w:t>
      </w:r>
      <w:r>
        <w:rPr>
          <w:rFonts w:hint="eastAsia" w:ascii="仿宋" w:hAnsi="仿宋" w:eastAsia="仿宋" w:cs="仿宋"/>
          <w:b w:val="0"/>
          <w:i w:val="0"/>
          <w:caps w:val="0"/>
          <w:color w:val="000000"/>
          <w:spacing w:val="0"/>
          <w:sz w:val="30"/>
          <w:szCs w:val="30"/>
          <w:shd w:val="clear" w:fill="FFFFFF"/>
          <w:lang w:eastAsia="zh-CN"/>
        </w:rPr>
        <w:t>部门预算的通知</w:t>
      </w:r>
      <w:r>
        <w:rPr>
          <w:rFonts w:hint="eastAsia" w:ascii="仿宋" w:hAnsi="仿宋" w:eastAsia="仿宋" w:cs="仿宋"/>
          <w:b w:val="0"/>
          <w:i w:val="0"/>
          <w:caps w:val="0"/>
          <w:color w:val="000000"/>
          <w:spacing w:val="0"/>
          <w:sz w:val="30"/>
          <w:szCs w:val="30"/>
          <w:shd w:val="clear" w:fill="FFFFFF"/>
          <w:lang w:val="en-US" w:eastAsia="zh-CN"/>
        </w:rPr>
        <w:t>》</w:t>
      </w:r>
      <w:r>
        <w:rPr>
          <w:rFonts w:hint="eastAsia" w:ascii="仿宋" w:hAnsi="仿宋" w:eastAsia="仿宋" w:cs="仿宋"/>
          <w:b w:val="0"/>
          <w:i w:val="0"/>
          <w:caps w:val="0"/>
          <w:color w:val="000000"/>
          <w:spacing w:val="0"/>
          <w:sz w:val="30"/>
          <w:szCs w:val="30"/>
          <w:shd w:val="clear" w:fill="FFFFFF"/>
          <w:lang w:eastAsia="zh-CN"/>
        </w:rPr>
        <w:t>文件精神，按照《预算法》及其实施条例等预算编制的法律、法规，掌握预算编制的相关政策，</w:t>
      </w:r>
      <w:r>
        <w:rPr>
          <w:rFonts w:hint="eastAsia" w:ascii="仿宋" w:hAnsi="仿宋" w:eastAsia="仿宋" w:cs="仿宋"/>
          <w:b w:val="0"/>
          <w:i w:val="0"/>
          <w:caps w:val="0"/>
          <w:color w:val="000000"/>
          <w:spacing w:val="-2"/>
          <w:kern w:val="0"/>
          <w:sz w:val="30"/>
          <w:szCs w:val="30"/>
          <w:highlight w:val="none"/>
          <w:lang w:val="en-US" w:eastAsia="zh-CN" w:bidi="ar"/>
        </w:rPr>
        <w:t>及时组织财务人员进行预算的编制，</w:t>
      </w:r>
      <w:r>
        <w:rPr>
          <w:rFonts w:hint="eastAsia" w:ascii="仿宋" w:hAnsi="仿宋" w:eastAsia="仿宋" w:cs="仿宋"/>
          <w:b w:val="0"/>
          <w:i w:val="0"/>
          <w:caps w:val="0"/>
          <w:color w:val="000000"/>
          <w:spacing w:val="0"/>
          <w:sz w:val="30"/>
          <w:szCs w:val="30"/>
          <w:shd w:val="clear" w:fill="FFFFFF"/>
          <w:lang w:eastAsia="zh-CN"/>
        </w:rPr>
        <w:t>核对人员编制、工资、等基础信息，实施更新单位基础信息库，准确编制部门预算，将部门预算收入全面纳入预算管理，全面完整地反映部门的真实收入情况。以</w:t>
      </w:r>
      <w:r>
        <w:rPr>
          <w:rFonts w:hint="eastAsia" w:ascii="仿宋" w:hAnsi="仿宋" w:eastAsia="仿宋" w:cs="仿宋"/>
          <w:b w:val="0"/>
          <w:i w:val="0"/>
          <w:caps w:val="0"/>
          <w:color w:val="000000"/>
          <w:spacing w:val="0"/>
          <w:sz w:val="30"/>
          <w:szCs w:val="30"/>
          <w:shd w:val="clear" w:fill="FFFFFF"/>
          <w:lang w:val="en-US" w:eastAsia="zh-CN"/>
        </w:rPr>
        <w:t>2019年9月30日为基本预算编制基准期，采用人员经费按标准、日常公用经费按定额，编制了基本支出预算；按要求、用途、支出范围编制了项目经费。</w:t>
      </w:r>
    </w:p>
    <w:p>
      <w:pPr>
        <w:widowControl/>
        <w:numPr>
          <w:ilvl w:val="0"/>
          <w:numId w:val="0"/>
        </w:numPr>
        <w:spacing w:line="600" w:lineRule="exact"/>
        <w:ind w:left="280" w:leftChars="0" w:firstLine="296" w:firstLineChars="100"/>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2、执行管理情况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val="0"/>
          <w:i w:val="0"/>
          <w:caps w:val="0"/>
          <w:color w:val="000000"/>
          <w:spacing w:val="0"/>
          <w:sz w:val="30"/>
          <w:szCs w:val="30"/>
          <w:shd w:val="clear" w:fill="FFFFFF"/>
          <w:lang w:eastAsia="zh-CN"/>
        </w:rPr>
        <w:t>州木材检查站</w:t>
      </w:r>
      <w:r>
        <w:rPr>
          <w:rFonts w:hint="eastAsia" w:ascii="仿宋" w:hAnsi="仿宋" w:eastAsia="仿宋" w:cs="仿宋"/>
          <w:b w:val="0"/>
          <w:i w:val="0"/>
          <w:caps w:val="0"/>
          <w:color w:val="000000"/>
          <w:spacing w:val="-2"/>
          <w:kern w:val="0"/>
          <w:sz w:val="30"/>
          <w:szCs w:val="30"/>
          <w:highlight w:val="none"/>
          <w:lang w:val="en-US" w:eastAsia="zh-CN" w:bidi="ar"/>
        </w:rPr>
        <w:t>按照州财政的要求，单位按照工作进度执行预算，基本支出按月或季度进行申报，其中人员工资按月申报、财政统一发放，日常公用经费按月进行申报并采用授权支付，项目支出按完成情况支付相关费用，执行情况良好。2019年申请计划数与支付数完成率100%。</w:t>
      </w:r>
      <w:r>
        <w:rPr>
          <w:rFonts w:hint="eastAsia" w:ascii="仿宋" w:hAnsi="仿宋" w:eastAsia="仿宋" w:cs="仿宋"/>
          <w:b w:val="0"/>
          <w:i w:val="0"/>
          <w:caps w:val="0"/>
          <w:color w:val="000000" w:themeColor="text1"/>
          <w:spacing w:val="-2"/>
          <w:kern w:val="0"/>
          <w:sz w:val="30"/>
          <w:szCs w:val="30"/>
          <w:highlight w:val="none"/>
          <w:lang w:val="en-US" w:eastAsia="zh-CN" w:bidi="ar"/>
        </w:rPr>
        <w:t>“三公”经费中</w:t>
      </w:r>
      <w:r>
        <w:rPr>
          <w:rFonts w:hint="eastAsia" w:ascii="仿宋" w:hAnsi="仿宋" w:eastAsia="仿宋" w:cs="仿宋"/>
          <w:b w:val="0"/>
          <w:i w:val="0"/>
          <w:caps w:val="0"/>
          <w:color w:val="000000"/>
          <w:spacing w:val="-2"/>
          <w:kern w:val="0"/>
          <w:sz w:val="30"/>
          <w:szCs w:val="30"/>
          <w:highlight w:val="none"/>
          <w:lang w:val="en-US" w:eastAsia="zh-CN" w:bidi="ar"/>
        </w:rPr>
        <w:t>公务用车运行维护费按照《阿坝州州直机关公务用车经费管理暂行办法》执行；公务接待费按照《阿坝州党政机关国内公务接待管理办法》（阿委办发（2015）6号）要求，坚持勤俭节约，反对铺张浪费。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节能降耗，按照上级建设节能型机关要求，在职工中宣传节能降耗，倡导绿色环保意识，节约用水，用电，要求做到人走电关；集中购买办公用品，加强办公设备、办公用品管理。</w:t>
      </w:r>
    </w:p>
    <w:p>
      <w:pPr>
        <w:widowControl/>
        <w:numPr>
          <w:ilvl w:val="0"/>
          <w:numId w:val="0"/>
        </w:numPr>
        <w:spacing w:line="600" w:lineRule="exact"/>
        <w:ind w:left="280" w:leftChars="0" w:firstLine="296" w:firstLineChars="100"/>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3、综合管理情况</w:t>
      </w:r>
    </w:p>
    <w:p>
      <w:pPr>
        <w:pStyle w:val="12"/>
        <w:keepNext w:val="0"/>
        <w:keepLines w:val="0"/>
        <w:widowControl/>
        <w:suppressLineNumbers w:val="0"/>
        <w:spacing w:before="106" w:beforeAutospacing="0" w:after="106" w:afterAutospacing="0" w:line="30" w:lineRule="atLeast"/>
        <w:ind w:left="0" w:right="0" w:firstLine="420"/>
        <w:jc w:val="left"/>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 xml:space="preserve"> 预决算信息公开：根据政府信息公开有关规定，我单位2020年预算已按规定时限、规定内容公开，基础数据信息和会计信息资料真实、完整、准确。</w:t>
      </w:r>
    </w:p>
    <w:p>
      <w:pPr>
        <w:ind w:firstLine="597" w:firstLineChars="202"/>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资产管理：</w:t>
      </w:r>
      <w:r>
        <w:rPr>
          <w:rFonts w:ascii="仿宋" w:hAnsi="仿宋" w:eastAsia="仿宋" w:cs="仿宋"/>
          <w:b w:val="0"/>
          <w:i w:val="0"/>
          <w:caps w:val="0"/>
          <w:color w:val="000000"/>
          <w:spacing w:val="0"/>
          <w:sz w:val="30"/>
          <w:szCs w:val="30"/>
          <w:shd w:val="clear" w:fill="FFFFFF"/>
        </w:rPr>
        <w:t>通过</w:t>
      </w:r>
      <w:r>
        <w:rPr>
          <w:rFonts w:hint="eastAsia" w:ascii="仿宋" w:hAnsi="仿宋" w:eastAsia="仿宋" w:cs="仿宋"/>
          <w:b w:val="0"/>
          <w:i w:val="0"/>
          <w:caps w:val="0"/>
          <w:color w:val="000000"/>
          <w:spacing w:val="0"/>
          <w:sz w:val="30"/>
          <w:szCs w:val="30"/>
          <w:shd w:val="clear" w:fill="FFFFFF"/>
        </w:rPr>
        <w:t>2016年固定资产清查，我</w:t>
      </w:r>
      <w:r>
        <w:rPr>
          <w:rFonts w:hint="eastAsia" w:ascii="仿宋" w:hAnsi="仿宋" w:eastAsia="仿宋" w:cs="仿宋"/>
          <w:b w:val="0"/>
          <w:i w:val="0"/>
          <w:caps w:val="0"/>
          <w:color w:val="000000"/>
          <w:spacing w:val="0"/>
          <w:sz w:val="30"/>
          <w:szCs w:val="30"/>
          <w:shd w:val="clear" w:fill="FFFFFF"/>
          <w:lang w:eastAsia="zh-CN"/>
        </w:rPr>
        <w:t>单位</w:t>
      </w:r>
      <w:r>
        <w:rPr>
          <w:rFonts w:hint="eastAsia" w:ascii="仿宋" w:hAnsi="仿宋" w:eastAsia="仿宋" w:cs="仿宋"/>
          <w:b w:val="0"/>
          <w:i w:val="0"/>
          <w:caps w:val="0"/>
          <w:color w:val="000000"/>
          <w:spacing w:val="0"/>
          <w:sz w:val="30"/>
          <w:szCs w:val="30"/>
          <w:shd w:val="clear" w:fill="FFFFFF"/>
        </w:rPr>
        <w:t>摸清家底，对本</w:t>
      </w:r>
      <w:r>
        <w:rPr>
          <w:rFonts w:hint="eastAsia" w:ascii="仿宋" w:hAnsi="仿宋" w:eastAsia="仿宋" w:cs="仿宋"/>
          <w:b w:val="0"/>
          <w:i w:val="0"/>
          <w:caps w:val="0"/>
          <w:color w:val="000000"/>
          <w:spacing w:val="0"/>
          <w:sz w:val="30"/>
          <w:szCs w:val="30"/>
          <w:shd w:val="clear" w:fill="FFFFFF"/>
          <w:lang w:eastAsia="zh-CN"/>
        </w:rPr>
        <w:t>单位</w:t>
      </w:r>
      <w:r>
        <w:rPr>
          <w:rFonts w:hint="eastAsia" w:ascii="仿宋" w:hAnsi="仿宋" w:eastAsia="仿宋" w:cs="仿宋"/>
          <w:b w:val="0"/>
          <w:i w:val="0"/>
          <w:caps w:val="0"/>
          <w:color w:val="000000"/>
          <w:spacing w:val="0"/>
          <w:sz w:val="30"/>
          <w:szCs w:val="30"/>
          <w:shd w:val="clear" w:fill="FFFFFF"/>
        </w:rPr>
        <w:t>资产进行了全面彻底的清查，理顺了固定资产管理工作，并建立健全了本单位的固定资产管理制度，依托于固定资产动态管理系统，实现了对固定资产的实时管理。资产保存完整、资产账务管理合规，帐实相符。为加强资产管理、规范资产管理行为制定了相关的资产管理制度，相关资金管理制度合法、合规、完整而且相关资产管理制度得到了有效执行。</w:t>
      </w:r>
    </w:p>
    <w:p>
      <w:pPr>
        <w:pStyle w:val="12"/>
        <w:keepNext w:val="0"/>
        <w:keepLines w:val="0"/>
        <w:widowControl/>
        <w:suppressLineNumbers w:val="0"/>
        <w:shd w:val="clear" w:fill="FFFFFF"/>
        <w:spacing w:before="0" w:beforeAutospacing="0" w:after="0" w:afterAutospacing="0" w:line="33" w:lineRule="atLeast"/>
        <w:ind w:left="0" w:firstLine="420"/>
        <w:jc w:val="left"/>
        <w:rPr>
          <w:rFonts w:hint="default" w:ascii="仿宋_GB2312" w:hAnsi="仿宋_GB2312" w:eastAsia="仿宋_GB2312" w:cs="仿宋_GB2312"/>
          <w:color w:val="000000" w:themeColor="text1"/>
          <w:sz w:val="32"/>
          <w:szCs w:val="32"/>
          <w:highlight w:val="none"/>
          <w:lang w:val="en-US" w:eastAsia="zh-CN"/>
        </w:rPr>
      </w:pPr>
      <w:r>
        <w:rPr>
          <w:rFonts w:hint="eastAsia" w:ascii="仿宋" w:hAnsi="仿宋" w:eastAsia="仿宋" w:cs="仿宋"/>
          <w:b w:val="0"/>
          <w:i w:val="0"/>
          <w:caps w:val="0"/>
          <w:color w:val="000000" w:themeColor="text1"/>
          <w:spacing w:val="-2"/>
          <w:kern w:val="0"/>
          <w:sz w:val="30"/>
          <w:szCs w:val="30"/>
          <w:highlight w:val="none"/>
          <w:lang w:val="en-US" w:eastAsia="zh-CN" w:bidi="ar"/>
        </w:rPr>
        <w:t>“三公”经费控制情况：我单位</w:t>
      </w:r>
      <w:r>
        <w:rPr>
          <w:rFonts w:hint="eastAsia" w:ascii="仿宋" w:hAnsi="仿宋" w:eastAsia="仿宋" w:cs="仿宋"/>
          <w:b w:val="0"/>
          <w:i w:val="0"/>
          <w:caps w:val="0"/>
          <w:color w:val="000000"/>
          <w:spacing w:val="-2"/>
          <w:kern w:val="0"/>
          <w:sz w:val="30"/>
          <w:szCs w:val="30"/>
          <w:highlight w:val="none"/>
          <w:lang w:val="en-US" w:eastAsia="zh-CN" w:bidi="ar"/>
        </w:rPr>
        <w:t>“三公”经费支出以节约为本，严格执行中央八项规定，控制“三公”经费支出，加强公务接待、公务用车管理，严格执行公务接待管理制度，控制接待费用，严禁公车私用。</w:t>
      </w:r>
      <w:r>
        <w:rPr>
          <w:rFonts w:hint="eastAsia" w:ascii="仿宋" w:hAnsi="仿宋" w:eastAsia="仿宋" w:cs="仿宋"/>
          <w:b w:val="0"/>
          <w:i w:val="0"/>
          <w:caps w:val="0"/>
          <w:color w:val="000000" w:themeColor="text1"/>
          <w:spacing w:val="-2"/>
          <w:kern w:val="0"/>
          <w:sz w:val="30"/>
          <w:szCs w:val="30"/>
          <w:highlight w:val="none"/>
          <w:lang w:val="en-US" w:eastAsia="zh-CN" w:bidi="ar"/>
        </w:rPr>
        <w:t>2019年度</w:t>
      </w:r>
      <w:r>
        <w:rPr>
          <w:rFonts w:hint="eastAsia" w:ascii="仿宋" w:hAnsi="仿宋" w:eastAsia="仿宋" w:cs="仿宋"/>
          <w:b w:val="0"/>
          <w:i w:val="0"/>
          <w:caps w:val="0"/>
          <w:color w:val="000000"/>
          <w:spacing w:val="-2"/>
          <w:kern w:val="0"/>
          <w:sz w:val="30"/>
          <w:szCs w:val="30"/>
          <w:highlight w:val="none"/>
          <w:lang w:val="en-US" w:eastAsia="zh-CN" w:bidi="ar"/>
        </w:rPr>
        <w:t>“三公”经费</w:t>
      </w:r>
      <w:r>
        <w:rPr>
          <w:rFonts w:hint="eastAsia" w:ascii="仿宋" w:hAnsi="仿宋" w:eastAsia="仿宋" w:cs="仿宋"/>
          <w:b w:val="0"/>
          <w:i w:val="0"/>
          <w:caps w:val="0"/>
          <w:color w:val="000000" w:themeColor="text1"/>
          <w:spacing w:val="-2"/>
          <w:kern w:val="0"/>
          <w:sz w:val="30"/>
          <w:szCs w:val="30"/>
          <w:highlight w:val="none"/>
          <w:lang w:val="en-US" w:eastAsia="zh-CN" w:bidi="ar"/>
        </w:rPr>
        <w:t>预算（无因公出国（境）费）18.77万元，其中：公务接待费1.09万元，公务用车运行维护费17.68万元。</w:t>
      </w:r>
      <w:r>
        <w:rPr>
          <w:rFonts w:hint="eastAsia" w:ascii="仿宋_GB2312" w:hAnsi="仿宋_GB2312" w:eastAsia="仿宋_GB2312" w:cs="仿宋_GB2312"/>
          <w:color w:val="000000" w:themeColor="text1"/>
          <w:sz w:val="32"/>
          <w:szCs w:val="32"/>
          <w:highlight w:val="none"/>
          <w:lang w:val="en-US" w:eastAsia="zh-CN"/>
        </w:rPr>
        <w:t>年终决算实际支出12.53万元，其中：</w:t>
      </w:r>
      <w:r>
        <w:rPr>
          <w:rFonts w:hint="eastAsia" w:ascii="仿宋" w:hAnsi="仿宋" w:eastAsia="仿宋" w:cs="仿宋"/>
          <w:b w:val="0"/>
          <w:i w:val="0"/>
          <w:caps w:val="0"/>
          <w:color w:val="000000" w:themeColor="text1"/>
          <w:spacing w:val="-2"/>
          <w:kern w:val="0"/>
          <w:sz w:val="30"/>
          <w:szCs w:val="30"/>
          <w:highlight w:val="none"/>
          <w:lang w:val="en-US" w:eastAsia="zh-CN" w:bidi="ar"/>
        </w:rPr>
        <w:t>公务接待费0.145万元，公务用车运行维护费12.38万元，公务接待费</w:t>
      </w:r>
      <w:r>
        <w:rPr>
          <w:rFonts w:hint="eastAsia" w:ascii="仿宋_GB2312" w:hAnsi="仿宋_GB2312" w:eastAsia="仿宋_GB2312" w:cs="仿宋_GB2312"/>
          <w:color w:val="000000" w:themeColor="text1"/>
          <w:sz w:val="32"/>
          <w:szCs w:val="32"/>
          <w:highlight w:val="none"/>
          <w:lang w:val="en-US" w:eastAsia="zh-CN"/>
        </w:rPr>
        <w:t>与2018年比</w:t>
      </w:r>
      <w:r>
        <w:rPr>
          <w:rFonts w:hint="eastAsia" w:ascii="仿宋_GB2312" w:hAnsi="仿宋" w:eastAsia="仿宋_GB2312" w:cs="仿宋"/>
          <w:color w:val="000000" w:themeColor="text1"/>
          <w:sz w:val="32"/>
          <w:szCs w:val="32"/>
          <w:highlight w:val="none"/>
        </w:rPr>
        <w:t>支出减少69.00%</w:t>
      </w:r>
      <w:r>
        <w:rPr>
          <w:rFonts w:hint="eastAsia" w:ascii="仿宋_GB2312" w:hAnsi="仿宋_GB2312" w:eastAsia="仿宋_GB2312" w:cs="仿宋_GB2312"/>
          <w:color w:val="000000" w:themeColor="text1"/>
          <w:sz w:val="32"/>
          <w:szCs w:val="32"/>
          <w:highlight w:val="none"/>
          <w:lang w:val="en-US" w:eastAsia="zh-CN"/>
        </w:rPr>
        <w:t>，</w:t>
      </w:r>
      <w:r>
        <w:rPr>
          <w:rFonts w:hint="eastAsia" w:ascii="仿宋" w:hAnsi="仿宋" w:eastAsia="仿宋" w:cs="仿宋"/>
          <w:b w:val="0"/>
          <w:i w:val="0"/>
          <w:caps w:val="0"/>
          <w:color w:val="000000" w:themeColor="text1"/>
          <w:spacing w:val="-2"/>
          <w:kern w:val="0"/>
          <w:sz w:val="30"/>
          <w:szCs w:val="30"/>
          <w:highlight w:val="none"/>
          <w:lang w:val="en-US" w:eastAsia="zh-CN" w:bidi="ar"/>
        </w:rPr>
        <w:t>公务用车运行维护费</w:t>
      </w:r>
      <w:r>
        <w:rPr>
          <w:rFonts w:hint="eastAsia" w:ascii="仿宋_GB2312" w:hAnsi="仿宋_GB2312" w:eastAsia="仿宋_GB2312" w:cs="仿宋_GB2312"/>
          <w:color w:val="000000" w:themeColor="text1"/>
          <w:sz w:val="32"/>
          <w:szCs w:val="32"/>
          <w:highlight w:val="none"/>
          <w:lang w:val="en-US" w:eastAsia="zh-CN"/>
        </w:rPr>
        <w:t>与2018年比</w:t>
      </w:r>
      <w:r>
        <w:rPr>
          <w:rFonts w:hint="eastAsia" w:ascii="仿宋_GB2312" w:hAnsi="仿宋" w:eastAsia="仿宋_GB2312" w:cs="仿宋"/>
          <w:color w:val="000000" w:themeColor="text1"/>
          <w:sz w:val="32"/>
          <w:szCs w:val="32"/>
          <w:highlight w:val="none"/>
        </w:rPr>
        <w:t>支出</w:t>
      </w:r>
      <w:r>
        <w:rPr>
          <w:rFonts w:hint="eastAsia" w:ascii="仿宋_GB2312" w:hAnsi="仿宋" w:eastAsia="仿宋_GB2312" w:cs="仿宋"/>
          <w:color w:val="000000" w:themeColor="text1"/>
          <w:sz w:val="32"/>
          <w:szCs w:val="32"/>
          <w:highlight w:val="none"/>
          <w:lang w:eastAsia="zh-CN"/>
        </w:rPr>
        <w:t>减少</w:t>
      </w:r>
      <w:r>
        <w:rPr>
          <w:rFonts w:hint="eastAsia" w:ascii="仿宋_GB2312" w:hAnsi="仿宋" w:eastAsia="仿宋_GB2312" w:cs="仿宋"/>
          <w:color w:val="000000" w:themeColor="text1"/>
          <w:sz w:val="32"/>
          <w:szCs w:val="32"/>
          <w:highlight w:val="none"/>
          <w:lang w:val="en-US" w:eastAsia="zh-CN"/>
        </w:rPr>
        <w:t>11.62%。</w:t>
      </w:r>
      <w:r>
        <w:rPr>
          <w:rFonts w:hint="eastAsia" w:ascii="仿宋" w:hAnsi="仿宋" w:eastAsia="仿宋" w:cs="仿宋"/>
          <w:b w:val="0"/>
          <w:i w:val="0"/>
          <w:caps w:val="0"/>
          <w:color w:val="000000" w:themeColor="text1"/>
          <w:spacing w:val="-2"/>
          <w:kern w:val="0"/>
          <w:sz w:val="30"/>
          <w:szCs w:val="30"/>
          <w:highlight w:val="none"/>
          <w:lang w:val="en-US" w:eastAsia="zh-CN" w:bidi="ar"/>
        </w:rPr>
        <w:t>“三公”经费控制情况良好。</w:t>
      </w:r>
    </w:p>
    <w:p>
      <w:pPr>
        <w:pStyle w:val="12"/>
        <w:keepNext w:val="0"/>
        <w:keepLines w:val="0"/>
        <w:widowControl/>
        <w:suppressLineNumbers w:val="0"/>
        <w:shd w:val="clear" w:fill="FFFFFF"/>
        <w:spacing w:before="0" w:beforeAutospacing="0" w:after="0" w:afterAutospacing="0" w:line="33" w:lineRule="atLeast"/>
        <w:ind w:left="0" w:firstLine="420"/>
        <w:jc w:val="left"/>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themeColor="text1"/>
          <w:spacing w:val="-2"/>
          <w:kern w:val="0"/>
          <w:sz w:val="30"/>
          <w:szCs w:val="30"/>
          <w:highlight w:val="none"/>
          <w:lang w:val="en-US" w:eastAsia="zh-CN" w:bidi="ar"/>
        </w:rPr>
        <w:t>内部管理制度建设情况：近年来，我单位制定、完善了《州木材检查总站财务管理制度》、《州木材检查总站车辆管理制度》、</w:t>
      </w:r>
      <w:r>
        <w:rPr>
          <w:rFonts w:hint="eastAsia" w:ascii="仿宋" w:hAnsi="仿宋" w:eastAsia="仿宋" w:cs="仿宋"/>
          <w:b w:val="0"/>
          <w:i w:val="0"/>
          <w:caps w:val="0"/>
          <w:color w:val="000000"/>
          <w:spacing w:val="-2"/>
          <w:kern w:val="0"/>
          <w:sz w:val="30"/>
          <w:szCs w:val="30"/>
          <w:highlight w:val="none"/>
          <w:lang w:val="en-US" w:eastAsia="zh-CN" w:bidi="ar"/>
        </w:rPr>
        <w:t>《州木材检查总站差旅费管理实施办法》、《州木材检查总站考勤制度》、《内部控制制度》、《三重一大制度》等一系列内部制度。</w:t>
      </w:r>
    </w:p>
    <w:p>
      <w:pPr>
        <w:pStyle w:val="12"/>
        <w:keepNext w:val="0"/>
        <w:keepLines w:val="0"/>
        <w:widowControl/>
        <w:suppressLineNumbers w:val="0"/>
        <w:shd w:val="clear" w:fill="FFFFFF"/>
        <w:spacing w:before="0" w:beforeAutospacing="0" w:after="0" w:afterAutospacing="0" w:line="33" w:lineRule="atLeast"/>
        <w:ind w:left="0" w:firstLine="420"/>
        <w:jc w:val="left"/>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非税收入执行情况：我单位严格执行“收支两条线”，所有收入（罚没收入、房租）及时全额上缴了州财政，无截留、坐支情况。</w:t>
      </w:r>
    </w:p>
    <w:p>
      <w:pPr>
        <w:pStyle w:val="12"/>
        <w:keepNext w:val="0"/>
        <w:keepLines w:val="0"/>
        <w:widowControl/>
        <w:suppressLineNumbers w:val="0"/>
        <w:shd w:val="clear" w:fill="FFFFFF"/>
        <w:spacing w:before="0" w:beforeAutospacing="0" w:after="0" w:afterAutospacing="0" w:line="33" w:lineRule="atLeast"/>
        <w:ind w:left="0" w:firstLine="420"/>
        <w:jc w:val="left"/>
        <w:rPr>
          <w:rFonts w:hint="eastAsia" w:ascii="仿宋" w:hAnsi="仿宋" w:eastAsia="仿宋" w:cs="仿宋"/>
          <w:b w:val="0"/>
          <w:i w:val="0"/>
          <w:caps w:val="0"/>
          <w:color w:val="000000"/>
          <w:spacing w:val="-2"/>
          <w:kern w:val="0"/>
          <w:sz w:val="30"/>
          <w:szCs w:val="30"/>
          <w:highlight w:val="none"/>
          <w:lang w:val="en-US" w:eastAsia="zh-CN" w:bidi="ar"/>
        </w:rPr>
      </w:pPr>
      <w:r>
        <w:rPr>
          <w:rFonts w:hint="eastAsia" w:ascii="仿宋" w:hAnsi="仿宋" w:eastAsia="仿宋" w:cs="仿宋"/>
          <w:b w:val="0"/>
          <w:i w:val="0"/>
          <w:caps w:val="0"/>
          <w:color w:val="000000"/>
          <w:spacing w:val="-2"/>
          <w:kern w:val="0"/>
          <w:sz w:val="30"/>
          <w:szCs w:val="30"/>
          <w:highlight w:val="none"/>
          <w:lang w:val="en-US" w:eastAsia="zh-CN" w:bidi="ar"/>
        </w:rPr>
        <w:t>政府采购情况：我单位所有政府采购项目均按政府采购程序办理，符合财政要求。</w:t>
      </w:r>
    </w:p>
    <w:p>
      <w:pPr>
        <w:pStyle w:val="12"/>
        <w:keepNext w:val="0"/>
        <w:keepLines w:val="0"/>
        <w:widowControl/>
        <w:suppressLineNumbers w:val="0"/>
        <w:shd w:val="clear" w:fill="FFFFFF"/>
        <w:spacing w:before="0" w:beforeAutospacing="0" w:after="0" w:afterAutospacing="0" w:line="33" w:lineRule="atLeast"/>
        <w:ind w:left="0" w:firstLine="420"/>
        <w:jc w:val="left"/>
        <w:rPr>
          <w:rFonts w:hint="eastAsia" w:ascii="仿宋_GB2312" w:hAnsi="宋体" w:eastAsia="仿宋_GB2312" w:cs="宋体"/>
          <w:color w:val="000000"/>
          <w:kern w:val="0"/>
          <w:sz w:val="32"/>
          <w:szCs w:val="32"/>
          <w:shd w:val="clear" w:color="auto" w:fill="FFFFFF"/>
          <w:lang w:val="zh-CN"/>
        </w:rPr>
      </w:pPr>
      <w:r>
        <w:rPr>
          <w:rFonts w:hint="eastAsia" w:ascii="仿宋" w:hAnsi="仿宋" w:eastAsia="仿宋" w:cs="仿宋"/>
          <w:b w:val="0"/>
          <w:i w:val="0"/>
          <w:caps w:val="0"/>
          <w:color w:val="000000"/>
          <w:spacing w:val="-2"/>
          <w:kern w:val="0"/>
          <w:sz w:val="30"/>
          <w:szCs w:val="30"/>
          <w:highlight w:val="none"/>
          <w:lang w:val="en-US" w:eastAsia="zh-CN" w:bidi="ar"/>
        </w:rPr>
        <w:t>接受财政监督情况：我单位为全额拨款事业单位，所有收入来自财政预算，资金实行国库集中支付，资金使用完全依法接受财政监督。2020年按照2019年州委第四巡察组对我单位巡察后反馈问题及阿坝州林草局要求，对反馈问题开展了自查自纠，存在问题已整改。</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320" w:firstLineChars="100"/>
        <w:contextualSpacing/>
        <w:jc w:val="left"/>
        <w:rPr>
          <w:rFonts w:hint="eastAsia" w:ascii="仿宋_GB2312" w:hAnsi="宋体" w:eastAsia="仿宋_GB2312" w:cs="宋体"/>
          <w:color w:val="FF0000"/>
          <w:kern w:val="0"/>
          <w:sz w:val="32"/>
          <w:szCs w:val="32"/>
          <w:shd w:val="clear" w:color="auto" w:fill="FFFFFF"/>
          <w:lang w:val="zh-CN"/>
        </w:rPr>
      </w:pPr>
      <w:r>
        <w:rPr>
          <w:rFonts w:hint="eastAsia" w:ascii="仿宋_GB2312" w:hAnsi="宋体" w:eastAsia="仿宋_GB2312" w:cs="宋体"/>
          <w:color w:val="auto"/>
          <w:kern w:val="0"/>
          <w:sz w:val="32"/>
          <w:szCs w:val="32"/>
          <w:shd w:val="clear" w:color="auto" w:fill="FFFFFF"/>
          <w:lang w:val="zh-CN"/>
        </w:rPr>
        <w:t>绩效自评及评价结果在站务会上进行了公开</w:t>
      </w:r>
      <w:r>
        <w:rPr>
          <w:rFonts w:hint="eastAsia" w:ascii="仿宋_GB2312" w:hAnsi="宋体" w:eastAsia="仿宋_GB2312" w:cs="宋体"/>
          <w:color w:val="FF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rFonts w:hint="eastAsia" w:ascii="仿宋_GB2312" w:hAnsi="仿宋" w:eastAsia="仿宋_GB2312" w:cs="仿宋"/>
          <w:kern w:val="2"/>
          <w:sz w:val="32"/>
          <w:szCs w:val="32"/>
          <w:lang w:val="zh-CN" w:eastAsia="zh-CN"/>
        </w:rPr>
      </w:pPr>
      <w:r>
        <w:rPr>
          <w:rFonts w:hint="eastAsia" w:ascii="仿宋_GB2312" w:hAnsi="仿宋" w:eastAsia="仿宋_GB2312" w:cs="仿宋"/>
          <w:sz w:val="32"/>
          <w:szCs w:val="32"/>
          <w:lang w:bidi="ar"/>
        </w:rPr>
        <w:t>完成了2019年工作目标任务。</w:t>
      </w:r>
      <w:r>
        <w:rPr>
          <w:rFonts w:hint="eastAsia" w:ascii="仿宋_GB2312" w:hAnsi="仿宋" w:eastAsia="仿宋_GB2312" w:cs="仿宋"/>
          <w:kern w:val="2"/>
          <w:sz w:val="32"/>
          <w:szCs w:val="32"/>
          <w:lang w:val="en-US" w:eastAsia="zh-CN"/>
        </w:rPr>
        <w:t>按照州级部门支出绩效评价指标体系，州木材检查站2019年部门整体支出绩效自我评价打分95分。</w:t>
      </w:r>
    </w:p>
    <w:p>
      <w:pPr>
        <w:widowControl/>
        <w:numPr>
          <w:ilvl w:val="0"/>
          <w:numId w:val="7"/>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 w:eastAsia="仿宋_GB2312" w:cs="仿宋"/>
          <w:kern w:val="2"/>
          <w:sz w:val="32"/>
          <w:szCs w:val="32"/>
          <w:lang w:val="en-US" w:eastAsia="zh-CN"/>
        </w:rPr>
        <w:t>一是部门预算绩效管理和绩效评价工作有待进一步加强；二是从均衡预算的角度看财政部分资金支付进度缓慢；三是内控制度还需要进一步完善。</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pStyle w:val="12"/>
        <w:widowControl/>
        <w:spacing w:before="0" w:beforeAutospacing="0" w:after="0" w:afterAutospacing="0" w:line="585" w:lineRule="atLeast"/>
        <w:ind w:firstLine="645"/>
        <w:rPr>
          <w:rFonts w:hint="eastAsia" w:ascii="仿宋_GB2312" w:hAnsi="仿宋" w:eastAsia="仿宋_GB2312" w:cs="仿宋"/>
          <w:kern w:val="2"/>
          <w:sz w:val="32"/>
          <w:szCs w:val="32"/>
          <w:lang w:val="en-US" w:eastAsia="zh-CN"/>
        </w:rPr>
      </w:pPr>
      <w:r>
        <w:rPr>
          <w:rFonts w:hint="eastAsia" w:ascii="仿宋_GB2312" w:hAnsi="仿宋" w:eastAsia="仿宋_GB2312" w:cs="仿宋"/>
          <w:kern w:val="2"/>
          <w:sz w:val="32"/>
          <w:szCs w:val="32"/>
          <w:lang w:val="en-US" w:eastAsia="zh-CN"/>
        </w:rPr>
        <w:t>1、细化预算编制工作，认真做好预算的编制。加强内部机构的预算管理意识，严格按照预算编制的相关制度和要求，本着“勤俭节约、保障运转”的原则进行预算的编制；</w:t>
      </w:r>
    </w:p>
    <w:p>
      <w:pPr>
        <w:pStyle w:val="12"/>
        <w:widowControl/>
        <w:spacing w:before="0" w:beforeAutospacing="0" w:after="0" w:afterAutospacing="0" w:line="585" w:lineRule="atLeast"/>
        <w:ind w:firstLine="645"/>
        <w:rPr>
          <w:rFonts w:hint="eastAsia" w:ascii="仿宋_GB2312" w:hAnsi="仿宋" w:eastAsia="仿宋_GB2312" w:cs="仿宋"/>
          <w:kern w:val="2"/>
          <w:sz w:val="32"/>
          <w:szCs w:val="32"/>
          <w:lang w:val="en-US" w:eastAsia="zh-CN"/>
        </w:rPr>
      </w:pPr>
      <w:r>
        <w:rPr>
          <w:rFonts w:hint="eastAsia" w:ascii="仿宋_GB2312" w:hAnsi="仿宋" w:eastAsia="仿宋_GB2312" w:cs="仿宋"/>
          <w:kern w:val="2"/>
          <w:sz w:val="32"/>
          <w:szCs w:val="32"/>
          <w:lang w:val="en-US" w:eastAsia="zh-CN"/>
        </w:rPr>
        <w:t>2、加强预算执行力，支出预算财务分析常态化。在日常预算管理过程中，进一步加强预算支出的审核、跟踪及预算执行。</w:t>
      </w:r>
    </w:p>
    <w:p>
      <w:pPr>
        <w:pStyle w:val="12"/>
        <w:widowControl/>
        <w:spacing w:before="0" w:beforeAutospacing="0" w:after="0" w:afterAutospacing="0" w:line="585" w:lineRule="atLeast"/>
        <w:ind w:firstLine="645"/>
        <w:rPr>
          <w:rFonts w:hint="eastAsia" w:ascii="仿宋_GB2312" w:hAnsi="仿宋" w:eastAsia="仿宋_GB2312" w:cs="仿宋"/>
          <w:kern w:val="2"/>
          <w:sz w:val="32"/>
          <w:szCs w:val="32"/>
        </w:rPr>
      </w:pPr>
      <w:r>
        <w:rPr>
          <w:rFonts w:hint="eastAsia" w:ascii="仿宋_GB2312" w:hAnsi="仿宋" w:eastAsia="仿宋_GB2312" w:cs="仿宋"/>
          <w:kern w:val="2"/>
          <w:sz w:val="32"/>
          <w:szCs w:val="32"/>
          <w:lang w:val="en-US" w:eastAsia="zh-CN"/>
        </w:rPr>
        <w:t>3、</w:t>
      </w:r>
      <w:r>
        <w:rPr>
          <w:rFonts w:hint="eastAsia" w:ascii="仿宋_GB2312" w:hAnsi="仿宋" w:eastAsia="仿宋_GB2312" w:cs="仿宋"/>
          <w:kern w:val="2"/>
          <w:sz w:val="32"/>
          <w:szCs w:val="32"/>
        </w:rPr>
        <w:t>加强学习培训、规范部门预算收支核算，</w:t>
      </w:r>
      <w:r>
        <w:rPr>
          <w:rFonts w:hint="eastAsia" w:ascii="仿宋_GB2312" w:hAnsi="仿宋" w:eastAsia="仿宋_GB2312" w:cs="仿宋"/>
          <w:kern w:val="2"/>
          <w:sz w:val="32"/>
          <w:szCs w:val="32"/>
          <w:lang w:val="en-US" w:eastAsia="zh-CN"/>
        </w:rPr>
        <w:t>进一步</w:t>
      </w:r>
      <w:r>
        <w:rPr>
          <w:rFonts w:hint="eastAsia" w:ascii="仿宋_GB2312" w:hAnsi="仿宋" w:eastAsia="仿宋_GB2312" w:cs="仿宋"/>
          <w:kern w:val="2"/>
          <w:sz w:val="32"/>
          <w:szCs w:val="32"/>
        </w:rPr>
        <w:t>完善</w:t>
      </w:r>
      <w:r>
        <w:rPr>
          <w:rFonts w:hint="eastAsia" w:ascii="仿宋_GB2312" w:hAnsi="仿宋" w:eastAsia="仿宋_GB2312" w:cs="仿宋"/>
          <w:kern w:val="2"/>
          <w:sz w:val="32"/>
          <w:szCs w:val="32"/>
          <w:lang w:eastAsia="zh-CN"/>
        </w:rPr>
        <w:t>内部控制制度。</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流动巡查保障经费</w:t>
      </w:r>
      <w:r>
        <w:rPr>
          <w:rFonts w:hint="eastAsia" w:ascii="方正小标宋简体" w:hAnsi="宋体" w:eastAsia="方正小标宋简体"/>
          <w:color w:val="000000"/>
          <w:kern w:val="0"/>
          <w:sz w:val="44"/>
          <w:szCs w:val="44"/>
          <w:lang w:val="zh-CN"/>
        </w:rPr>
        <w:t>项目</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pStyle w:val="5"/>
        <w:adjustRightInd w:val="0"/>
        <w:snapToGrid w:val="0"/>
        <w:spacing w:before="93" w:line="600" w:lineRule="exact"/>
        <w:ind w:firstLine="672" w:firstLineChars="210"/>
        <w:outlineLvl w:val="2"/>
        <w:rPr>
          <w:rFonts w:hint="eastAsia" w:ascii="仿宋_GB2312" w:hAnsi="宋体" w:eastAsia="仿宋_GB2312"/>
          <w:color w:val="FF0000"/>
          <w:sz w:val="32"/>
          <w:szCs w:val="32"/>
          <w:lang w:val="en-US" w:eastAsia="zh-CN"/>
        </w:rPr>
      </w:pPr>
      <w:r>
        <w:rPr>
          <w:rFonts w:hint="eastAsia" w:hAnsi="宋体"/>
          <w:color w:val="auto"/>
          <w:sz w:val="32"/>
          <w:szCs w:val="32"/>
          <w:lang w:val="en-US" w:eastAsia="zh-CN"/>
        </w:rPr>
        <w:t>1.</w:t>
      </w:r>
      <w:r>
        <w:rPr>
          <w:rFonts w:hint="eastAsia" w:ascii="仿宋_GB2312" w:hAnsi="宋体" w:eastAsia="仿宋_GB2312"/>
          <w:color w:val="auto"/>
          <w:sz w:val="32"/>
          <w:szCs w:val="32"/>
          <w:lang w:val="zh-CN"/>
        </w:rPr>
        <w:t>职能职责：</w:t>
      </w:r>
      <w:r>
        <w:rPr>
          <w:rFonts w:hint="eastAsia" w:ascii="仿宋" w:hAnsi="仿宋" w:eastAsia="仿宋"/>
          <w:bCs/>
          <w:color w:val="auto"/>
          <w:sz w:val="32"/>
          <w:szCs w:val="32"/>
          <w:lang w:eastAsia="zh-CN"/>
        </w:rPr>
        <w:t>一</w:t>
      </w:r>
      <w:r>
        <w:rPr>
          <w:rFonts w:hint="eastAsia" w:ascii="仿宋" w:hAnsi="仿宋" w:eastAsia="仿宋"/>
          <w:bCs/>
          <w:color w:val="000000"/>
          <w:sz w:val="32"/>
          <w:szCs w:val="32"/>
          <w:lang w:eastAsia="zh-CN"/>
        </w:rPr>
        <w:t>是宣传、执行《中华人民共和国森林法》、《中华人民共和国野生动物保护法》、《植物检疫条例》和国家、省、市有关木材运输检查监督的法规、政策；二是依法检查运输木材、林产品和野生动、植物及其产品运输证件，制止违法运输，在授权、委托范围内查处违法运输的木材、林产品和野生动、植物及其产品；三是根据林业行政主管部门或其它有关单位的依法授权或委托，履行相应的职责；四是完成上级交办的各项工作任务。</w:t>
      </w:r>
    </w:p>
    <w:p>
      <w:pPr>
        <w:adjustRightInd w:val="0"/>
        <w:snapToGrid w:val="0"/>
        <w:spacing w:line="600" w:lineRule="exact"/>
        <w:ind w:firstLine="72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2．立项依据：</w:t>
      </w:r>
    </w:p>
    <w:p>
      <w:pPr>
        <w:adjustRightInd w:val="0"/>
        <w:snapToGrid w:val="0"/>
        <w:spacing w:line="600" w:lineRule="exact"/>
        <w:ind w:firstLine="720"/>
        <w:rPr>
          <w:rFonts w:hint="eastAsia" w:ascii="仿宋_GB2312" w:hAnsi="宋体" w:eastAsia="仿宋_GB2312"/>
          <w:color w:val="FF0000"/>
          <w:sz w:val="32"/>
          <w:szCs w:val="32"/>
          <w:lang w:val="zh-CN"/>
        </w:rPr>
      </w:pPr>
      <w:r>
        <w:rPr>
          <w:rFonts w:hint="eastAsia" w:ascii="仿宋_GB2312" w:hAnsi="仿宋" w:eastAsia="仿宋_GB2312" w:cs="仿宋"/>
          <w:kern w:val="2"/>
          <w:sz w:val="32"/>
          <w:szCs w:val="32"/>
          <w:lang w:eastAsia="zh-CN"/>
        </w:rPr>
        <w:t>依照</w:t>
      </w:r>
      <w:r>
        <w:rPr>
          <w:rFonts w:hint="eastAsia" w:ascii="仿宋_GB2312" w:hAnsi="仿宋" w:eastAsia="仿宋_GB2312" w:cs="仿宋"/>
          <w:kern w:val="2"/>
          <w:sz w:val="32"/>
          <w:szCs w:val="32"/>
          <w:lang w:val="en-US" w:eastAsia="zh-CN"/>
        </w:rPr>
        <w:t>2011年</w:t>
      </w:r>
      <w:r>
        <w:rPr>
          <w:rFonts w:hint="eastAsia" w:ascii="仿宋_GB2312" w:hAnsi="仿宋" w:eastAsia="仿宋_GB2312" w:cs="仿宋"/>
          <w:kern w:val="2"/>
          <w:sz w:val="32"/>
          <w:szCs w:val="32"/>
          <w:lang w:eastAsia="zh-CN"/>
        </w:rPr>
        <w:t>《四川省木材运输管理条例》之第十三条规定申报项目资金；</w:t>
      </w:r>
    </w:p>
    <w:p>
      <w:pPr>
        <w:numPr>
          <w:ilvl w:val="0"/>
          <w:numId w:val="0"/>
        </w:numPr>
        <w:adjustRightInd w:val="0"/>
        <w:snapToGrid w:val="0"/>
        <w:spacing w:line="600" w:lineRule="exact"/>
        <w:ind w:firstLine="640" w:firstLineChars="200"/>
        <w:rPr>
          <w:rFonts w:hint="eastAsia" w:ascii="仿宋" w:hAnsi="仿宋" w:eastAsia="仿宋" w:cs="Times New Roman"/>
          <w:bCs/>
          <w:color w:val="000000"/>
          <w:kern w:val="0"/>
          <w:sz w:val="32"/>
          <w:szCs w:val="32"/>
          <w:lang w:val="zh-CN" w:eastAsia="zh-CN" w:bidi="ar-SA"/>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val="zh-CN"/>
        </w:rPr>
        <w:t>资金管理办法制定情况：经站务会通过，该项目资金</w:t>
      </w:r>
      <w:r>
        <w:rPr>
          <w:rFonts w:hint="eastAsia" w:ascii="仿宋" w:hAnsi="仿宋" w:eastAsia="仿宋" w:cs="Times New Roman"/>
          <w:bCs/>
          <w:color w:val="000000"/>
          <w:kern w:val="0"/>
          <w:sz w:val="32"/>
          <w:szCs w:val="32"/>
          <w:lang w:val="zh-CN" w:eastAsia="zh-CN" w:bidi="ar-SA"/>
        </w:rPr>
        <w:t>用于</w:t>
      </w:r>
      <w:r>
        <w:rPr>
          <w:rFonts w:hint="eastAsia" w:ascii="仿宋" w:hAnsi="仿宋" w:eastAsia="仿宋" w:cs="Times New Roman"/>
          <w:bCs/>
          <w:color w:val="000000"/>
          <w:kern w:val="0"/>
          <w:sz w:val="32"/>
          <w:szCs w:val="32"/>
          <w:lang w:val="en-US" w:eastAsia="zh-CN" w:bidi="ar-SA"/>
        </w:rPr>
        <w:t>流动巡查中发生的公务用车运行维护费、差旅费等，</w:t>
      </w:r>
      <w:r>
        <w:rPr>
          <w:rFonts w:hint="eastAsia" w:ascii="仿宋" w:hAnsi="仿宋" w:eastAsia="仿宋" w:cs="Times New Roman"/>
          <w:bCs/>
          <w:color w:val="000000"/>
          <w:kern w:val="0"/>
          <w:sz w:val="32"/>
          <w:szCs w:val="32"/>
          <w:lang w:val="zh-CN" w:eastAsia="zh-CN" w:bidi="ar-SA"/>
        </w:rPr>
        <w:t>专款专用；</w:t>
      </w:r>
    </w:p>
    <w:p>
      <w:pPr>
        <w:adjustRightInd w:val="0"/>
        <w:snapToGrid w:val="0"/>
        <w:spacing w:line="600" w:lineRule="exact"/>
        <w:ind w:firstLine="720"/>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zh-CN"/>
        </w:rPr>
        <w:t>4．资金分配考虑因素：根据流动巡查中具体情况，流动巡查保障经费资金分配为：公务用车运行维护费</w:t>
      </w:r>
      <w:r>
        <w:rPr>
          <w:rFonts w:hint="eastAsia" w:ascii="仿宋_GB2312" w:hAnsi="宋体" w:eastAsia="仿宋_GB2312"/>
          <w:color w:val="auto"/>
          <w:sz w:val="32"/>
          <w:szCs w:val="32"/>
          <w:lang w:val="en-US" w:eastAsia="zh-CN"/>
        </w:rPr>
        <w:t>6.48万元，差旅费13.52万元。</w:t>
      </w:r>
    </w:p>
    <w:p>
      <w:pPr>
        <w:adjustRightInd w:val="0"/>
        <w:snapToGrid w:val="0"/>
        <w:spacing w:line="60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1．项目主要内容。</w:t>
      </w:r>
    </w:p>
    <w:p>
      <w:pPr>
        <w:adjustRightInd w:val="0"/>
        <w:snapToGrid w:val="0"/>
        <w:spacing w:line="600" w:lineRule="exact"/>
        <w:ind w:firstLine="72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zh-CN"/>
        </w:rPr>
        <w:t>根据单位及流动巡查中具体情况申请项目资金</w:t>
      </w:r>
      <w:r>
        <w:rPr>
          <w:rFonts w:hint="eastAsia" w:ascii="仿宋_GB2312" w:hAnsi="宋体" w:eastAsia="仿宋_GB2312"/>
          <w:color w:val="auto"/>
          <w:sz w:val="32"/>
          <w:szCs w:val="32"/>
          <w:lang w:val="en-US" w:eastAsia="zh-CN"/>
        </w:rPr>
        <w:t>20.00万元，</w:t>
      </w:r>
      <w:r>
        <w:rPr>
          <w:rFonts w:hint="eastAsia" w:ascii="仿宋_GB2312" w:hAnsi="仿宋" w:eastAsia="仿宋_GB2312" w:cs="仿宋"/>
          <w:color w:val="auto"/>
          <w:kern w:val="2"/>
          <w:sz w:val="32"/>
          <w:szCs w:val="32"/>
          <w:lang w:eastAsia="zh-CN"/>
        </w:rPr>
        <w:t>该项目资金主要</w:t>
      </w:r>
      <w:r>
        <w:rPr>
          <w:rFonts w:hint="eastAsia" w:ascii="仿宋_GB2312" w:hAnsi="仿宋" w:eastAsia="仿宋_GB2312" w:cs="仿宋"/>
          <w:color w:val="auto"/>
          <w:kern w:val="2"/>
          <w:sz w:val="32"/>
          <w:szCs w:val="32"/>
        </w:rPr>
        <w:t>用于流动巡查中发生的公务用车运行维护费、差旅费</w:t>
      </w:r>
      <w:r>
        <w:rPr>
          <w:rFonts w:hint="eastAsia" w:ascii="仿宋_GB2312" w:hAnsi="仿宋" w:eastAsia="仿宋_GB2312" w:cs="仿宋"/>
          <w:color w:val="auto"/>
          <w:kern w:val="2"/>
          <w:sz w:val="32"/>
          <w:szCs w:val="32"/>
          <w:lang w:eastAsia="zh-CN"/>
        </w:rPr>
        <w:t>等</w:t>
      </w:r>
      <w:r>
        <w:rPr>
          <w:rFonts w:hint="eastAsia" w:ascii="仿宋_GB2312" w:hAnsi="仿宋" w:eastAsia="仿宋_GB2312" w:cs="仿宋"/>
          <w:color w:val="auto"/>
          <w:kern w:val="2"/>
          <w:sz w:val="32"/>
          <w:szCs w:val="32"/>
        </w:rPr>
        <w:t>保障经费</w:t>
      </w:r>
      <w:r>
        <w:rPr>
          <w:rFonts w:hint="eastAsia" w:ascii="仿宋_GB2312" w:hAnsi="仿宋" w:eastAsia="仿宋_GB2312" w:cs="仿宋"/>
          <w:color w:val="auto"/>
          <w:kern w:val="2"/>
          <w:sz w:val="32"/>
          <w:szCs w:val="32"/>
          <w:lang w:eastAsia="zh-CN"/>
        </w:rPr>
        <w:t>。</w:t>
      </w:r>
    </w:p>
    <w:p>
      <w:pPr>
        <w:spacing w:line="580" w:lineRule="exact"/>
        <w:ind w:firstLine="640" w:firstLineChars="200"/>
        <w:rPr>
          <w:rFonts w:ascii="仿宋" w:hAnsi="仿宋" w:eastAsia="仿宋" w:cs="仿宋_GB2312"/>
          <w:color w:val="auto"/>
          <w:sz w:val="32"/>
          <w:szCs w:val="32"/>
        </w:rPr>
      </w:pPr>
      <w:r>
        <w:rPr>
          <w:rFonts w:hint="eastAsia" w:ascii="仿宋_GB2312" w:hAnsi="宋体" w:eastAsia="仿宋_GB2312"/>
          <w:color w:val="auto"/>
          <w:sz w:val="32"/>
          <w:szCs w:val="32"/>
          <w:lang w:val="zh-CN"/>
        </w:rPr>
        <w:t>2．</w:t>
      </w:r>
      <w:r>
        <w:rPr>
          <w:rFonts w:ascii="仿宋" w:hAnsi="仿宋" w:eastAsia="仿宋" w:cs="仿宋_GB2312"/>
          <w:color w:val="auto"/>
          <w:sz w:val="32"/>
          <w:szCs w:val="32"/>
        </w:rPr>
        <w:t>项目绩效</w:t>
      </w:r>
    </w:p>
    <w:p>
      <w:pPr>
        <w:widowControl/>
        <w:spacing w:line="60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通过项目实施，</w:t>
      </w:r>
      <w:r>
        <w:rPr>
          <w:rFonts w:hint="eastAsia" w:ascii="仿宋_GB2312" w:hAnsi="仿宋_GB2312" w:eastAsia="仿宋_GB2312" w:cs="仿宋_GB2312"/>
          <w:color w:val="auto"/>
          <w:sz w:val="32"/>
          <w:szCs w:val="32"/>
          <w:lang w:eastAsia="zh-CN"/>
        </w:rPr>
        <w:t>防止</w:t>
      </w:r>
      <w:r>
        <w:rPr>
          <w:rFonts w:hint="eastAsia" w:ascii="仿宋_GB2312" w:hAnsi="仿宋_GB2312" w:eastAsia="仿宋_GB2312" w:cs="仿宋_GB2312"/>
          <w:color w:val="auto"/>
          <w:sz w:val="32"/>
          <w:szCs w:val="32"/>
        </w:rPr>
        <w:t>偷拉盗运</w:t>
      </w:r>
      <w:r>
        <w:rPr>
          <w:rFonts w:hint="eastAsia" w:ascii="仿宋_GB2312" w:hAnsi="仿宋_GB2312" w:eastAsia="仿宋_GB2312" w:cs="仿宋_GB2312"/>
          <w:color w:val="auto"/>
          <w:sz w:val="32"/>
          <w:szCs w:val="32"/>
          <w:lang w:eastAsia="zh-CN"/>
        </w:rPr>
        <w:t>、乱砍滥伐，保护森林资源安全。</w:t>
      </w:r>
    </w:p>
    <w:p>
      <w:pPr>
        <w:numPr>
          <w:ilvl w:val="0"/>
          <w:numId w:val="0"/>
        </w:numPr>
        <w:adjustRightInd w:val="0"/>
        <w:snapToGrid w:val="0"/>
        <w:spacing w:line="600" w:lineRule="exact"/>
        <w:ind w:leftChars="200" w:firstLine="320" w:firstLineChars="10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lang w:val="zh-CN"/>
        </w:rPr>
        <w:t>项目申报目标合理性</w:t>
      </w:r>
    </w:p>
    <w:p>
      <w:pPr>
        <w:numPr>
          <w:ilvl w:val="0"/>
          <w:numId w:val="0"/>
        </w:numPr>
        <w:adjustRightInd w:val="0"/>
        <w:snapToGrid w:val="0"/>
        <w:spacing w:line="600" w:lineRule="exact"/>
        <w:ind w:leftChars="200" w:firstLine="320" w:firstLineChars="100"/>
        <w:rPr>
          <w:rFonts w:ascii="仿宋_GB2312" w:hAnsi="宋体" w:eastAsia="仿宋_GB2312"/>
          <w:color w:val="auto"/>
          <w:sz w:val="32"/>
          <w:szCs w:val="32"/>
          <w:lang w:val="zh-CN"/>
        </w:rPr>
      </w:pPr>
      <w:r>
        <w:rPr>
          <w:rFonts w:hint="eastAsia" w:ascii="仿宋_GB2312" w:hAnsi="宋体" w:eastAsia="仿宋_GB2312"/>
          <w:color w:val="auto"/>
          <w:sz w:val="32"/>
          <w:szCs w:val="32"/>
          <w:lang w:val="en-US" w:eastAsia="zh-CN"/>
        </w:rPr>
        <w:t>2019年</w:t>
      </w:r>
      <w:r>
        <w:rPr>
          <w:rFonts w:hint="eastAsia" w:ascii="仿宋_GB2312" w:hAnsi="宋体" w:eastAsia="仿宋_GB2312"/>
          <w:color w:val="auto"/>
          <w:sz w:val="32"/>
          <w:szCs w:val="32"/>
          <w:lang w:val="zh-CN"/>
        </w:rPr>
        <w:t>申报项目与实际相符，申报目标合理可行。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hint="eastAsia" w:ascii="仿宋_GB2312" w:hAnsi="宋体" w:eastAsia="仿宋_GB2312"/>
          <w:color w:val="auto"/>
          <w:sz w:val="32"/>
          <w:szCs w:val="32"/>
          <w:lang w:val="zh-CN"/>
        </w:rPr>
      </w:pPr>
      <w:r>
        <w:rPr>
          <w:rFonts w:hint="eastAsia" w:ascii="仿宋_GB2312" w:hAnsi="宋体" w:eastAsia="仿宋_GB2312"/>
          <w:color w:val="auto"/>
          <w:sz w:val="32"/>
          <w:szCs w:val="32"/>
          <w:lang w:val="zh-CN"/>
        </w:rPr>
        <w:t>一是建立评价工作小组，以主管领导为组长、分管财务领导、财务人员、外勤组长、办公室人员成立评价工作小组；二是制定出评价工作方案；三是由外勤组长提供年度流动巡查记录依据；四是由财务人员提供项目资金支出情况；五是评价结果通过站务会讨论通过。</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color w:val="FF0000"/>
          <w:sz w:val="32"/>
          <w:szCs w:val="32"/>
          <w:lang w:val="zh-CN"/>
        </w:rPr>
      </w:pPr>
      <w:r>
        <w:rPr>
          <w:rFonts w:hint="eastAsia" w:ascii="仿宋" w:hAnsi="仿宋" w:eastAsia="仿宋" w:cs="仿宋"/>
          <w:b w:val="0"/>
          <w:i w:val="0"/>
          <w:caps w:val="0"/>
          <w:color w:val="auto"/>
          <w:spacing w:val="0"/>
          <w:sz w:val="30"/>
          <w:szCs w:val="30"/>
          <w:shd w:val="clear" w:fill="FFFFFF"/>
          <w:lang w:eastAsia="zh-CN"/>
        </w:rPr>
        <w:t>按照阿州财预（</w:t>
      </w:r>
      <w:r>
        <w:rPr>
          <w:rFonts w:hint="eastAsia" w:ascii="仿宋" w:hAnsi="仿宋" w:eastAsia="仿宋" w:cs="仿宋"/>
          <w:b w:val="0"/>
          <w:i w:val="0"/>
          <w:caps w:val="0"/>
          <w:color w:val="auto"/>
          <w:spacing w:val="0"/>
          <w:sz w:val="30"/>
          <w:szCs w:val="30"/>
          <w:shd w:val="clear" w:fill="FFFFFF"/>
          <w:lang w:val="en-US" w:eastAsia="zh-CN"/>
        </w:rPr>
        <w:t>2019</w:t>
      </w:r>
      <w:r>
        <w:rPr>
          <w:rFonts w:hint="eastAsia" w:ascii="仿宋" w:hAnsi="仿宋" w:eastAsia="仿宋" w:cs="仿宋"/>
          <w:b w:val="0"/>
          <w:i w:val="0"/>
          <w:caps w:val="0"/>
          <w:color w:val="auto"/>
          <w:spacing w:val="0"/>
          <w:sz w:val="30"/>
          <w:szCs w:val="30"/>
          <w:shd w:val="clear" w:fill="FFFFFF"/>
          <w:lang w:eastAsia="zh-CN"/>
        </w:rPr>
        <w:t>）</w:t>
      </w:r>
      <w:r>
        <w:rPr>
          <w:rFonts w:hint="eastAsia" w:ascii="仿宋" w:hAnsi="仿宋" w:eastAsia="仿宋" w:cs="仿宋"/>
          <w:b w:val="0"/>
          <w:i w:val="0"/>
          <w:caps w:val="0"/>
          <w:color w:val="auto"/>
          <w:spacing w:val="0"/>
          <w:sz w:val="30"/>
          <w:szCs w:val="30"/>
          <w:shd w:val="clear" w:fill="FFFFFF"/>
          <w:lang w:val="en-US" w:eastAsia="zh-CN"/>
        </w:rPr>
        <w:t>78号《</w:t>
      </w:r>
      <w:r>
        <w:rPr>
          <w:rFonts w:hint="eastAsia" w:ascii="仿宋" w:hAnsi="仿宋" w:eastAsia="仿宋" w:cs="仿宋"/>
          <w:b w:val="0"/>
          <w:i w:val="0"/>
          <w:caps w:val="0"/>
          <w:color w:val="auto"/>
          <w:spacing w:val="0"/>
          <w:sz w:val="30"/>
          <w:szCs w:val="30"/>
          <w:shd w:val="clear" w:fill="FFFFFF"/>
          <w:lang w:eastAsia="zh-CN"/>
        </w:rPr>
        <w:t>关于编制州级</w:t>
      </w:r>
      <w:r>
        <w:rPr>
          <w:rFonts w:hint="eastAsia" w:ascii="仿宋" w:hAnsi="仿宋" w:eastAsia="仿宋" w:cs="仿宋"/>
          <w:b w:val="0"/>
          <w:i w:val="0"/>
          <w:caps w:val="0"/>
          <w:color w:val="auto"/>
          <w:spacing w:val="0"/>
          <w:sz w:val="30"/>
          <w:szCs w:val="30"/>
          <w:shd w:val="clear" w:fill="FFFFFF"/>
          <w:lang w:val="en-US" w:eastAsia="zh-CN"/>
        </w:rPr>
        <w:t>2020-2022年支出规划和2020年</w:t>
      </w:r>
      <w:r>
        <w:rPr>
          <w:rFonts w:hint="eastAsia" w:ascii="仿宋" w:hAnsi="仿宋" w:eastAsia="仿宋" w:cs="仿宋"/>
          <w:b w:val="0"/>
          <w:i w:val="0"/>
          <w:caps w:val="0"/>
          <w:color w:val="auto"/>
          <w:spacing w:val="0"/>
          <w:sz w:val="30"/>
          <w:szCs w:val="30"/>
          <w:shd w:val="clear" w:fill="FFFFFF"/>
          <w:lang w:eastAsia="zh-CN"/>
        </w:rPr>
        <w:t>部门预算的通知</w:t>
      </w:r>
      <w:r>
        <w:rPr>
          <w:rFonts w:hint="eastAsia" w:ascii="仿宋" w:hAnsi="仿宋" w:eastAsia="仿宋" w:cs="仿宋"/>
          <w:b w:val="0"/>
          <w:i w:val="0"/>
          <w:caps w:val="0"/>
          <w:color w:val="auto"/>
          <w:spacing w:val="0"/>
          <w:sz w:val="30"/>
          <w:szCs w:val="30"/>
          <w:shd w:val="clear" w:fill="FFFFFF"/>
          <w:lang w:val="en-US" w:eastAsia="zh-CN"/>
        </w:rPr>
        <w:t>》</w:t>
      </w:r>
      <w:r>
        <w:rPr>
          <w:rFonts w:hint="eastAsia" w:ascii="仿宋" w:hAnsi="仿宋" w:eastAsia="仿宋" w:cs="仿宋"/>
          <w:b w:val="0"/>
          <w:i w:val="0"/>
          <w:caps w:val="0"/>
          <w:color w:val="auto"/>
          <w:spacing w:val="0"/>
          <w:sz w:val="30"/>
          <w:szCs w:val="30"/>
          <w:shd w:val="clear" w:fill="FFFFFF"/>
          <w:lang w:eastAsia="zh-CN"/>
        </w:rPr>
        <w:t>文件精神等预算编制的法律、法规，掌握预算编制的相关政策，</w:t>
      </w:r>
      <w:r>
        <w:rPr>
          <w:rFonts w:hint="eastAsia" w:ascii="仿宋" w:hAnsi="仿宋" w:eastAsia="仿宋" w:cs="仿宋"/>
          <w:b w:val="0"/>
          <w:i w:val="0"/>
          <w:caps w:val="0"/>
          <w:color w:val="auto"/>
          <w:spacing w:val="-2"/>
          <w:kern w:val="0"/>
          <w:sz w:val="30"/>
          <w:szCs w:val="30"/>
          <w:highlight w:val="none"/>
          <w:lang w:val="en-US" w:eastAsia="zh-CN" w:bidi="ar"/>
        </w:rPr>
        <w:t>进行预算资金的编制申报，财政预算审核通过后批复，其中：流动巡查保障经费项目资金20.00万元。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hint="eastAsia" w:ascii="楷体_GB2312" w:hAnsi="宋体" w:eastAsia="楷体_GB2312"/>
          <w:color w:val="auto"/>
          <w:sz w:val="32"/>
          <w:szCs w:val="32"/>
          <w:lang w:val="zh-CN"/>
        </w:rPr>
      </w:pPr>
      <w:r>
        <w:rPr>
          <w:rFonts w:hint="eastAsia" w:ascii="楷体_GB2312" w:hAnsi="宋体" w:eastAsia="楷体_GB2312"/>
          <w:color w:val="auto"/>
          <w:sz w:val="32"/>
          <w:szCs w:val="32"/>
          <w:lang w:val="zh-CN"/>
        </w:rPr>
        <w:t>1．资金计划。</w:t>
      </w:r>
    </w:p>
    <w:p>
      <w:pPr>
        <w:adjustRightInd w:val="0"/>
        <w:snapToGrid w:val="0"/>
        <w:spacing w:line="600" w:lineRule="exact"/>
        <w:ind w:firstLine="720"/>
        <w:rPr>
          <w:rFonts w:hint="eastAsia" w:ascii="楷体_GB2312" w:hAnsi="宋体" w:eastAsia="楷体_GB2312"/>
          <w:color w:val="auto"/>
          <w:sz w:val="32"/>
          <w:szCs w:val="32"/>
          <w:lang w:val="en-US" w:eastAsia="zh-CN"/>
        </w:rPr>
      </w:pPr>
      <w:r>
        <w:rPr>
          <w:rFonts w:hint="eastAsia" w:ascii="楷体_GB2312" w:hAnsi="宋体" w:eastAsia="楷体_GB2312"/>
          <w:color w:val="auto"/>
          <w:sz w:val="32"/>
          <w:szCs w:val="32"/>
          <w:lang w:val="zh-CN"/>
        </w:rPr>
        <w:t>本项目预算资金计划</w:t>
      </w:r>
      <w:r>
        <w:rPr>
          <w:rFonts w:hint="eastAsia" w:ascii="楷体_GB2312" w:hAnsi="宋体" w:eastAsia="楷体_GB2312"/>
          <w:color w:val="auto"/>
          <w:sz w:val="32"/>
          <w:szCs w:val="32"/>
          <w:lang w:val="en-US" w:eastAsia="zh-CN"/>
        </w:rPr>
        <w:t>20.00万元；</w:t>
      </w:r>
    </w:p>
    <w:p>
      <w:pPr>
        <w:numPr>
          <w:ilvl w:val="0"/>
          <w:numId w:val="4"/>
        </w:numPr>
        <w:adjustRightInd w:val="0"/>
        <w:snapToGrid w:val="0"/>
        <w:spacing w:line="600" w:lineRule="exact"/>
        <w:ind w:left="0" w:leftChars="0" w:firstLine="640" w:firstLineChars="200"/>
        <w:rPr>
          <w:rFonts w:hint="eastAsia" w:ascii="楷体_GB2312" w:hAnsi="宋体" w:eastAsia="楷体_GB2312"/>
          <w:color w:val="auto"/>
          <w:sz w:val="32"/>
          <w:szCs w:val="32"/>
          <w:lang w:val="zh-CN"/>
        </w:rPr>
      </w:pPr>
      <w:r>
        <w:rPr>
          <w:rFonts w:hint="eastAsia" w:ascii="楷体_GB2312" w:hAnsi="宋体" w:eastAsia="楷体_GB2312"/>
          <w:color w:val="auto"/>
          <w:sz w:val="32"/>
          <w:szCs w:val="32"/>
          <w:lang w:val="zh-CN"/>
        </w:rPr>
        <w:t>资金到位。</w:t>
      </w:r>
    </w:p>
    <w:p>
      <w:pPr>
        <w:numPr>
          <w:ilvl w:val="0"/>
          <w:numId w:val="0"/>
        </w:numPr>
        <w:adjustRightInd w:val="0"/>
        <w:snapToGrid w:val="0"/>
        <w:spacing w:line="600" w:lineRule="exact"/>
        <w:ind w:leftChars="200" w:firstLine="320" w:firstLineChars="100"/>
        <w:rPr>
          <w:rFonts w:ascii="仿宋_GB2312" w:hAnsi="宋体" w:eastAsia="仿宋_GB2312"/>
          <w:color w:val="FF0000"/>
          <w:sz w:val="32"/>
          <w:szCs w:val="32"/>
          <w:lang w:val="zh-CN"/>
        </w:rPr>
      </w:pPr>
      <w:r>
        <w:rPr>
          <w:rFonts w:hint="eastAsia" w:ascii="楷体_GB2312" w:hAnsi="宋体" w:eastAsia="楷体_GB2312"/>
          <w:color w:val="auto"/>
          <w:sz w:val="32"/>
          <w:szCs w:val="32"/>
          <w:lang w:val="zh-CN"/>
        </w:rPr>
        <w:t>本项目</w:t>
      </w:r>
      <w:r>
        <w:rPr>
          <w:rFonts w:hint="eastAsia" w:ascii="楷体_GB2312" w:hAnsi="宋体" w:eastAsia="楷体_GB2312"/>
          <w:color w:val="auto"/>
          <w:sz w:val="32"/>
          <w:szCs w:val="32"/>
          <w:lang w:val="en-US" w:eastAsia="zh-CN"/>
        </w:rPr>
        <w:t>财政拨款资金实际到位20.00万元。</w:t>
      </w:r>
    </w:p>
    <w:p>
      <w:pPr>
        <w:numPr>
          <w:ilvl w:val="0"/>
          <w:numId w:val="4"/>
        </w:numPr>
        <w:adjustRightInd w:val="0"/>
        <w:snapToGrid w:val="0"/>
        <w:spacing w:line="600" w:lineRule="exact"/>
        <w:ind w:left="0" w:leftChars="0" w:firstLine="640" w:firstLineChars="200"/>
        <w:rPr>
          <w:rFonts w:hint="eastAsia" w:ascii="楷体_GB2312" w:hAnsi="宋体" w:eastAsia="楷体_GB2312"/>
          <w:color w:val="auto"/>
          <w:sz w:val="32"/>
          <w:szCs w:val="32"/>
          <w:lang w:val="zh-CN"/>
        </w:rPr>
      </w:pPr>
      <w:r>
        <w:rPr>
          <w:rFonts w:hint="eastAsia" w:ascii="楷体_GB2312" w:hAnsi="宋体" w:eastAsia="楷体_GB2312"/>
          <w:color w:val="auto"/>
          <w:sz w:val="32"/>
          <w:szCs w:val="32"/>
          <w:lang w:val="zh-CN"/>
        </w:rPr>
        <w:t>资金使用。</w:t>
      </w:r>
    </w:p>
    <w:p>
      <w:pPr>
        <w:numPr>
          <w:ilvl w:val="0"/>
          <w:numId w:val="0"/>
        </w:numPr>
        <w:adjustRightInd w:val="0"/>
        <w:snapToGrid w:val="0"/>
        <w:spacing w:line="600" w:lineRule="exact"/>
        <w:ind w:leftChars="200" w:firstLine="320" w:firstLineChars="100"/>
        <w:rPr>
          <w:rFonts w:hint="default" w:ascii="楷体_GB2312" w:hAnsi="宋体" w:eastAsia="仿宋_GB2312"/>
          <w:color w:val="auto"/>
          <w:sz w:val="32"/>
          <w:szCs w:val="32"/>
          <w:lang w:val="en-US" w:eastAsia="zh-CN"/>
        </w:rPr>
      </w:pPr>
      <w:r>
        <w:rPr>
          <w:rFonts w:hint="eastAsia" w:ascii="楷体_GB2312" w:hAnsi="宋体" w:eastAsia="楷体_GB2312"/>
          <w:color w:val="auto"/>
          <w:sz w:val="32"/>
          <w:szCs w:val="32"/>
          <w:lang w:val="en-US" w:eastAsia="zh-CN"/>
        </w:rPr>
        <w:t>2019年实际使用10.88万元，其中：</w:t>
      </w:r>
      <w:r>
        <w:rPr>
          <w:rFonts w:hint="eastAsia" w:ascii="仿宋_GB2312" w:hAnsi="仿宋" w:eastAsia="仿宋_GB2312" w:cs="仿宋"/>
          <w:color w:val="auto"/>
          <w:kern w:val="2"/>
          <w:sz w:val="32"/>
          <w:szCs w:val="32"/>
        </w:rPr>
        <w:t>公务用车运行维护费</w:t>
      </w:r>
      <w:r>
        <w:rPr>
          <w:rFonts w:hint="eastAsia" w:ascii="仿宋_GB2312" w:hAnsi="仿宋" w:eastAsia="仿宋_GB2312" w:cs="仿宋"/>
          <w:color w:val="auto"/>
          <w:kern w:val="2"/>
          <w:sz w:val="32"/>
          <w:szCs w:val="32"/>
          <w:lang w:val="en-US" w:eastAsia="zh-CN"/>
        </w:rPr>
        <w:t>1.29万元</w:t>
      </w:r>
      <w:r>
        <w:rPr>
          <w:rFonts w:hint="eastAsia" w:ascii="仿宋_GB2312" w:hAnsi="仿宋" w:eastAsia="仿宋_GB2312" w:cs="仿宋"/>
          <w:color w:val="auto"/>
          <w:kern w:val="2"/>
          <w:sz w:val="32"/>
          <w:szCs w:val="32"/>
        </w:rPr>
        <w:t>、差旅费</w:t>
      </w:r>
      <w:r>
        <w:rPr>
          <w:rFonts w:hint="eastAsia" w:ascii="仿宋_GB2312" w:hAnsi="仿宋" w:eastAsia="仿宋_GB2312" w:cs="仿宋"/>
          <w:color w:val="auto"/>
          <w:kern w:val="2"/>
          <w:sz w:val="32"/>
          <w:szCs w:val="32"/>
          <w:lang w:val="en-US" w:eastAsia="zh-CN"/>
        </w:rPr>
        <w:t>7.64万元，印刷费1.95万元；余款年终决算对账后退回财政。</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numPr>
          <w:ilvl w:val="0"/>
          <w:numId w:val="0"/>
        </w:num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单位加强对州财政预算安排的项目资金的管理，保证项目资金按计划、按进度实行。专项资金实行项目管理，专款专用，</w:t>
      </w:r>
      <w:r>
        <w:rPr>
          <w:rFonts w:hint="eastAsia" w:ascii="仿宋" w:hAnsi="仿宋" w:eastAsia="仿宋" w:cs="仿宋_GB2312"/>
          <w:sz w:val="32"/>
          <w:szCs w:val="32"/>
          <w:lang w:val="zh-CN" w:eastAsia="zh-CN"/>
        </w:rPr>
        <w:t>账务处理及时，会计核算规范，</w:t>
      </w:r>
      <w:r>
        <w:rPr>
          <w:rFonts w:hint="eastAsia" w:ascii="仿宋" w:hAnsi="仿宋" w:eastAsia="仿宋" w:cs="仿宋_GB2312"/>
          <w:sz w:val="32"/>
          <w:szCs w:val="32"/>
          <w:lang w:eastAsia="zh-CN"/>
        </w:rPr>
        <w:t>未虚列项目支出，未截留、挤占、挪用、浪费、套取、转移专项资金。</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numPr>
          <w:ilvl w:val="0"/>
          <w:numId w:val="8"/>
        </w:num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项目组织架构及实施流程。</w:t>
      </w:r>
    </w:p>
    <w:p>
      <w:pPr>
        <w:numPr>
          <w:ilvl w:val="0"/>
          <w:numId w:val="0"/>
        </w:numPr>
        <w:adjustRightInd w:val="0"/>
        <w:snapToGrid w:val="0"/>
        <w:spacing w:line="600" w:lineRule="exact"/>
        <w:ind w:firstLine="640" w:firstLineChars="200"/>
        <w:rPr>
          <w:rFonts w:hint="default" w:ascii="楷体_GB2312" w:hAnsi="宋体" w:eastAsia="楷体_GB2312"/>
          <w:b w:val="0"/>
          <w:bCs/>
          <w:sz w:val="32"/>
          <w:szCs w:val="32"/>
          <w:lang w:val="en-US" w:eastAsia="zh-CN"/>
        </w:rPr>
      </w:pPr>
      <w:r>
        <w:rPr>
          <w:rFonts w:hint="eastAsia" w:ascii="楷体_GB2312" w:hAnsi="宋体" w:eastAsia="楷体_GB2312"/>
          <w:b w:val="0"/>
          <w:bCs/>
          <w:sz w:val="32"/>
          <w:szCs w:val="32"/>
          <w:lang w:val="en-US" w:eastAsia="zh-CN"/>
        </w:rPr>
        <w:t>1、</w:t>
      </w:r>
      <w:r>
        <w:rPr>
          <w:rFonts w:hint="eastAsia" w:ascii="楷体_GB2312" w:hAnsi="宋体" w:eastAsia="楷体_GB2312"/>
          <w:b w:val="0"/>
          <w:bCs/>
          <w:sz w:val="32"/>
          <w:szCs w:val="32"/>
          <w:lang w:val="zh-CN"/>
        </w:rPr>
        <w:t>设立分管领导，负责安排流动巡查事务；</w:t>
      </w:r>
    </w:p>
    <w:p>
      <w:pPr>
        <w:numPr>
          <w:ilvl w:val="0"/>
          <w:numId w:val="0"/>
        </w:numPr>
        <w:adjustRightInd w:val="0"/>
        <w:snapToGrid w:val="0"/>
        <w:spacing w:line="60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en-US" w:eastAsia="zh-CN"/>
        </w:rPr>
        <w:t>2、设立</w:t>
      </w:r>
      <w:r>
        <w:rPr>
          <w:rFonts w:hint="eastAsia" w:ascii="楷体_GB2312" w:hAnsi="宋体" w:eastAsia="楷体_GB2312"/>
          <w:b w:val="0"/>
          <w:bCs/>
          <w:sz w:val="32"/>
          <w:szCs w:val="32"/>
          <w:lang w:val="zh-CN"/>
        </w:rPr>
        <w:t>巡查小组组长负责巡查中事务；</w:t>
      </w:r>
    </w:p>
    <w:p>
      <w:pPr>
        <w:numPr>
          <w:ilvl w:val="0"/>
          <w:numId w:val="0"/>
        </w:numPr>
        <w:adjustRightInd w:val="0"/>
        <w:snapToGrid w:val="0"/>
        <w:spacing w:line="600" w:lineRule="exact"/>
        <w:ind w:firstLine="640" w:firstLineChars="20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en-US" w:eastAsia="zh-CN"/>
        </w:rPr>
        <w:t>3、由</w:t>
      </w:r>
      <w:r>
        <w:rPr>
          <w:rFonts w:hint="eastAsia" w:ascii="楷体_GB2312" w:hAnsi="宋体" w:eastAsia="楷体_GB2312"/>
          <w:b w:val="0"/>
          <w:bCs/>
          <w:sz w:val="32"/>
          <w:szCs w:val="32"/>
          <w:lang w:val="zh-CN"/>
        </w:rPr>
        <w:t>分管领导签字、小组组长签字后；</w:t>
      </w:r>
    </w:p>
    <w:p>
      <w:pPr>
        <w:numPr>
          <w:ilvl w:val="0"/>
          <w:numId w:val="0"/>
        </w:numPr>
        <w:adjustRightInd w:val="0"/>
        <w:snapToGrid w:val="0"/>
        <w:spacing w:line="600" w:lineRule="exact"/>
        <w:ind w:firstLine="640" w:firstLineChars="200"/>
        <w:rPr>
          <w:rFonts w:hint="default" w:ascii="楷体_GB2312" w:hAnsi="宋体" w:eastAsia="楷体_GB2312"/>
          <w:b w:val="0"/>
          <w:bCs/>
          <w:sz w:val="32"/>
          <w:szCs w:val="32"/>
          <w:lang w:val="en-US" w:eastAsia="zh-CN"/>
        </w:rPr>
      </w:pPr>
      <w:r>
        <w:rPr>
          <w:rFonts w:hint="eastAsia" w:ascii="楷体_GB2312" w:hAnsi="宋体" w:eastAsia="楷体_GB2312"/>
          <w:b w:val="0"/>
          <w:bCs/>
          <w:sz w:val="32"/>
          <w:szCs w:val="32"/>
          <w:lang w:val="en-US" w:eastAsia="zh-CN"/>
        </w:rPr>
        <w:t>4、财务报账审核，财务分管领导签字后报账。</w:t>
      </w:r>
    </w:p>
    <w:p>
      <w:pPr>
        <w:numPr>
          <w:ilvl w:val="0"/>
          <w:numId w:val="8"/>
        </w:numPr>
        <w:adjustRightInd w:val="0"/>
        <w:snapToGrid w:val="0"/>
        <w:spacing w:line="600" w:lineRule="exact"/>
        <w:ind w:left="0" w:leftChars="0" w:firstLine="720" w:firstLineChars="0"/>
        <w:rPr>
          <w:rFonts w:hint="eastAsia" w:ascii="楷体_GB2312" w:hAnsi="宋体" w:eastAsia="楷体_GB2312"/>
          <w:b/>
          <w:sz w:val="32"/>
          <w:szCs w:val="32"/>
          <w:lang w:val="zh-CN"/>
        </w:rPr>
      </w:pPr>
      <w:r>
        <w:rPr>
          <w:rFonts w:hint="eastAsia" w:ascii="楷体_GB2312" w:hAnsi="宋体" w:eastAsia="楷体_GB2312"/>
          <w:b/>
          <w:sz w:val="32"/>
          <w:szCs w:val="32"/>
          <w:lang w:val="zh-CN"/>
        </w:rPr>
        <w:t>项目管理情况。</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根据单位实际，结合具体情况，该项目对出勤巡查检查的人员给予了补助：在县境内巡查的</w:t>
      </w:r>
      <w:r>
        <w:rPr>
          <w:rFonts w:hint="eastAsia" w:ascii="楷体_GB2312" w:hAnsi="宋体" w:eastAsia="楷体_GB2312"/>
          <w:b w:val="0"/>
          <w:bCs/>
          <w:sz w:val="32"/>
          <w:szCs w:val="32"/>
          <w:lang w:val="en-US" w:eastAsia="zh-CN"/>
        </w:rPr>
        <w:t>30元/人、天，</w:t>
      </w:r>
      <w:r>
        <w:rPr>
          <w:rFonts w:hint="eastAsia" w:ascii="楷体_GB2312" w:hAnsi="宋体" w:eastAsia="楷体_GB2312"/>
          <w:b w:val="0"/>
          <w:bCs/>
          <w:sz w:val="32"/>
          <w:szCs w:val="32"/>
          <w:lang w:val="zh-CN"/>
        </w:rPr>
        <w:t>县境外的按差旅费报销。</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adjustRightInd w:val="0"/>
        <w:snapToGrid w:val="0"/>
        <w:spacing w:line="600" w:lineRule="exact"/>
        <w:ind w:firstLine="720"/>
        <w:rPr>
          <w:rFonts w:hint="eastAsia" w:ascii="楷体_GB2312" w:hAnsi="宋体" w:eastAsia="楷体_GB2312"/>
          <w:b w:val="0"/>
          <w:bCs/>
          <w:sz w:val="32"/>
          <w:szCs w:val="32"/>
          <w:lang w:val="zh-CN"/>
        </w:rPr>
      </w:pPr>
      <w:r>
        <w:rPr>
          <w:rFonts w:hint="eastAsia" w:ascii="楷体_GB2312" w:hAnsi="宋体" w:eastAsia="楷体_GB2312"/>
          <w:b w:val="0"/>
          <w:bCs/>
          <w:sz w:val="32"/>
          <w:szCs w:val="32"/>
          <w:lang w:val="zh-CN"/>
        </w:rPr>
        <w:t>该项目采取钉钉定位打卡考勤、巡查现场签到、登记检查可疑车辆等方式，监督巡查人员上路巡查的地点、时间、检查效果。</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spacing w:line="480" w:lineRule="exact"/>
        <w:ind w:firstLine="640" w:firstLineChars="200"/>
        <w:rPr>
          <w:rFonts w:hint="eastAsia" w:ascii="仿宋_GB2312" w:hAnsi="宋体" w:eastAsia="仿宋_GB2312"/>
          <w:color w:val="FF0000"/>
          <w:sz w:val="32"/>
          <w:szCs w:val="32"/>
          <w:lang w:val="zh-CN"/>
        </w:rPr>
      </w:pPr>
      <w:r>
        <w:rPr>
          <w:rFonts w:hint="eastAsia" w:ascii="仿宋_GB2312" w:hAnsi="仿宋" w:eastAsia="仿宋_GB2312" w:cs="仿宋"/>
          <w:sz w:val="32"/>
          <w:szCs w:val="32"/>
        </w:rPr>
        <w:t>全年共计出勤300余次，检查可疑车辆 3000余车次，查获无证运输木材 1起,累计木材 1.763立方米，打击了偷拉盗运木材及野生动物的违法行为，维护了阿坝州森林生态的安全，充分发挥了木材检查站关口的作用。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40" w:lineRule="atLeast"/>
        <w:ind w:firstLine="640" w:firstLineChars="200"/>
        <w:rPr>
          <w:rFonts w:hint="eastAsia" w:ascii="华文仿宋" w:hAnsi="华文仿宋" w:eastAsia="华文仿宋"/>
          <w:color w:val="000000"/>
          <w:sz w:val="32"/>
          <w:szCs w:val="32"/>
          <w:lang w:eastAsia="zh-CN"/>
        </w:rPr>
      </w:pPr>
      <w:r>
        <w:rPr>
          <w:rFonts w:hint="eastAsia" w:ascii="华文仿宋" w:hAnsi="华文仿宋" w:eastAsia="华文仿宋"/>
          <w:color w:val="000000"/>
          <w:sz w:val="32"/>
          <w:szCs w:val="32"/>
        </w:rPr>
        <w:t>（1）经济效益：</w:t>
      </w:r>
      <w:r>
        <w:rPr>
          <w:rFonts w:hint="eastAsia" w:ascii="华文仿宋" w:hAnsi="华文仿宋" w:eastAsia="华文仿宋"/>
          <w:color w:val="000000"/>
          <w:sz w:val="32"/>
          <w:szCs w:val="32"/>
          <w:lang w:eastAsia="zh-CN"/>
        </w:rPr>
        <w:t>流动巡查</w:t>
      </w:r>
      <w:r>
        <w:rPr>
          <w:rFonts w:hint="eastAsia" w:ascii="华文仿宋" w:hAnsi="华文仿宋" w:eastAsia="华文仿宋"/>
          <w:color w:val="000000"/>
          <w:sz w:val="32"/>
          <w:szCs w:val="32"/>
        </w:rPr>
        <w:t>林业综合执法在依法查验木材运输证件，制止违法运输木材、野生动植物、林木种苗管理方面取得一定成效</w:t>
      </w:r>
      <w:r>
        <w:rPr>
          <w:rFonts w:hint="eastAsia" w:ascii="华文仿宋" w:hAnsi="华文仿宋" w:eastAsia="华文仿宋"/>
          <w:color w:val="000000"/>
          <w:sz w:val="32"/>
          <w:szCs w:val="32"/>
          <w:lang w:eastAsia="zh-CN"/>
        </w:rPr>
        <w:t>；</w:t>
      </w:r>
    </w:p>
    <w:p>
      <w:pPr>
        <w:adjustRightInd w:val="0"/>
        <w:snapToGrid w:val="0"/>
        <w:spacing w:line="540" w:lineRule="atLeast"/>
        <w:ind w:firstLine="640" w:firstLineChars="200"/>
        <w:rPr>
          <w:rFonts w:hint="eastAsia" w:ascii="华文仿宋" w:hAnsi="华文仿宋" w:eastAsia="华文仿宋"/>
          <w:color w:val="000000"/>
          <w:sz w:val="32"/>
          <w:szCs w:val="32"/>
        </w:rPr>
      </w:pPr>
      <w:r>
        <w:rPr>
          <w:rFonts w:hint="eastAsia" w:ascii="华文仿宋" w:hAnsi="华文仿宋" w:eastAsia="华文仿宋"/>
          <w:color w:val="000000"/>
          <w:sz w:val="32"/>
          <w:szCs w:val="32"/>
        </w:rPr>
        <w:t>（2）社会效益：</w:t>
      </w:r>
      <w:r>
        <w:rPr>
          <w:rFonts w:hint="eastAsia" w:ascii="华文仿宋" w:hAnsi="华文仿宋" w:eastAsia="华文仿宋"/>
          <w:color w:val="000000"/>
          <w:sz w:val="32"/>
          <w:szCs w:val="32"/>
          <w:lang w:eastAsia="zh-CN"/>
        </w:rPr>
        <w:t>流动巡查</w:t>
      </w:r>
      <w:r>
        <w:rPr>
          <w:rFonts w:hint="eastAsia" w:ascii="华文仿宋" w:hAnsi="华文仿宋" w:eastAsia="华文仿宋"/>
          <w:color w:val="000000"/>
          <w:sz w:val="32"/>
          <w:szCs w:val="32"/>
        </w:rPr>
        <w:t>综合执法在森林资源保护、遏制非法运输木材流通起到积极作用。</w:t>
      </w:r>
    </w:p>
    <w:p>
      <w:pPr>
        <w:adjustRightInd w:val="0"/>
        <w:snapToGrid w:val="0"/>
        <w:spacing w:line="540" w:lineRule="atLeast"/>
        <w:ind w:firstLine="640" w:firstLineChars="200"/>
        <w:rPr>
          <w:rFonts w:hint="eastAsia" w:ascii="华文仿宋" w:hAnsi="华文仿宋" w:eastAsia="华文仿宋"/>
          <w:color w:val="000000"/>
          <w:sz w:val="32"/>
          <w:szCs w:val="32"/>
          <w:lang w:eastAsia="zh-CN"/>
        </w:rPr>
      </w:pPr>
      <w:r>
        <w:rPr>
          <w:rFonts w:hint="eastAsia" w:ascii="华文仿宋" w:hAnsi="华文仿宋" w:eastAsia="华文仿宋"/>
          <w:color w:val="000000"/>
          <w:sz w:val="32"/>
          <w:szCs w:val="32"/>
        </w:rPr>
        <w:t>（3）可持续影响：贯彻执行国家、</w:t>
      </w:r>
      <w:r>
        <w:rPr>
          <w:rFonts w:hint="eastAsia" w:ascii="华文仿宋" w:hAnsi="华文仿宋" w:eastAsia="华文仿宋"/>
          <w:color w:val="000000"/>
          <w:sz w:val="32"/>
          <w:szCs w:val="32"/>
          <w:lang w:eastAsia="zh-CN"/>
        </w:rPr>
        <w:t>四川</w:t>
      </w:r>
      <w:r>
        <w:rPr>
          <w:rFonts w:hint="eastAsia" w:ascii="华文仿宋" w:hAnsi="华文仿宋" w:eastAsia="华文仿宋"/>
          <w:color w:val="000000"/>
          <w:sz w:val="32"/>
          <w:szCs w:val="32"/>
        </w:rPr>
        <w:t>省有关林业法律法规和方针政策</w:t>
      </w:r>
      <w:r>
        <w:rPr>
          <w:rFonts w:hint="eastAsia" w:ascii="华文仿宋" w:hAnsi="华文仿宋" w:eastAsia="华文仿宋"/>
          <w:color w:val="000000"/>
          <w:sz w:val="32"/>
          <w:szCs w:val="32"/>
          <w:lang w:eastAsia="zh-CN"/>
        </w:rPr>
        <w:t>，</w:t>
      </w:r>
      <w:r>
        <w:rPr>
          <w:rFonts w:hint="eastAsia" w:ascii="华文仿宋" w:hAnsi="华文仿宋" w:eastAsia="华文仿宋"/>
          <w:color w:val="000000"/>
          <w:sz w:val="32"/>
          <w:szCs w:val="32"/>
        </w:rPr>
        <w:t>受林业行政主管部门委托实施有关林业行政处罚</w:t>
      </w:r>
      <w:r>
        <w:rPr>
          <w:rFonts w:hint="eastAsia" w:ascii="华文仿宋" w:hAnsi="华文仿宋" w:eastAsia="华文仿宋"/>
          <w:color w:val="000000"/>
          <w:sz w:val="32"/>
          <w:szCs w:val="32"/>
          <w:lang w:eastAsia="zh-CN"/>
        </w:rPr>
        <w:t>；</w:t>
      </w:r>
    </w:p>
    <w:p>
      <w:pPr>
        <w:adjustRightInd w:val="0"/>
        <w:snapToGrid w:val="0"/>
        <w:spacing w:line="540" w:lineRule="atLeast"/>
        <w:ind w:firstLine="640" w:firstLineChars="200"/>
        <w:rPr>
          <w:rFonts w:ascii="仿宋_GB2312" w:hAnsi="宋体" w:eastAsia="仿宋_GB2312"/>
          <w:color w:val="FF0000"/>
          <w:sz w:val="32"/>
          <w:szCs w:val="32"/>
          <w:lang w:val="zh-CN"/>
        </w:rPr>
      </w:pPr>
      <w:r>
        <w:rPr>
          <w:rFonts w:hint="eastAsia" w:ascii="华文仿宋" w:hAnsi="华文仿宋" w:eastAsia="华文仿宋"/>
          <w:color w:val="000000"/>
          <w:sz w:val="32"/>
          <w:szCs w:val="32"/>
        </w:rPr>
        <w:t>（4）满意度：社会大众、服务对象和干部职工对林业行政执法工作的满意度高。</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widowControl/>
        <w:adjustRightInd w:val="0"/>
        <w:snapToGrid w:val="0"/>
        <w:spacing w:line="580" w:lineRule="exact"/>
        <w:ind w:firstLine="643" w:firstLineChars="200"/>
        <w:contextualSpacing/>
        <w:jc w:val="left"/>
        <w:rPr>
          <w:rFonts w:ascii="楷体_GB2312" w:hAnsi="宋体" w:eastAsia="楷体_GB2312"/>
          <w:b/>
          <w:sz w:val="32"/>
          <w:szCs w:val="32"/>
          <w:lang w:val="zh-CN"/>
        </w:rPr>
      </w:pPr>
      <w:r>
        <w:rPr>
          <w:rFonts w:hint="eastAsia" w:ascii="楷体_GB2312" w:hAnsi="宋体" w:eastAsia="楷体_GB2312"/>
          <w:b/>
          <w:sz w:val="32"/>
          <w:szCs w:val="32"/>
          <w:lang w:val="zh-CN"/>
        </w:rPr>
        <w:t>（一）评价结论。</w:t>
      </w:r>
      <w:r>
        <w:rPr>
          <w:rFonts w:hint="eastAsia" w:ascii="仿宋_GB2312" w:hAnsi="仿宋" w:eastAsia="仿宋_GB2312" w:cs="仿宋"/>
          <w:kern w:val="2"/>
          <w:sz w:val="32"/>
          <w:szCs w:val="32"/>
          <w:lang w:val="en-US" w:eastAsia="zh-CN"/>
        </w:rPr>
        <w:t>本部门强化预算管理，严格按照财经制度刚性约束，实施绩效目标管理，实行专款专用，支出科学合理，无违规现象。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1、检查手段及工具落后；2、检查人员老龄化严重；3、巡查时间偏短。</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1、招收年轻、素质高的检查人员充实检查队伍；</w:t>
      </w: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2、加强考勤管理，延长巡查时间。</w:t>
      </w:r>
      <w:bookmarkStart w:id="59" w:name="OLE_LINK1"/>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p>
      <w:pPr>
        <w:adjustRightInd w:val="0"/>
        <w:snapToGrid w:val="0"/>
        <w:spacing w:line="600" w:lineRule="exact"/>
        <w:ind w:firstLine="640" w:firstLineChars="200"/>
        <w:rPr>
          <w:rFonts w:hint="eastAsia" w:ascii="仿宋_GB2312" w:hAnsi="宋体" w:eastAsia="仿宋_GB2312"/>
          <w:color w:val="auto"/>
          <w:sz w:val="32"/>
          <w:szCs w:val="32"/>
          <w:lang w:val="en-US" w:eastAsia="zh-CN"/>
        </w:rPr>
      </w:pPr>
    </w:p>
    <w:bookmarkEnd w:id="59"/>
    <w:p>
      <w:pPr>
        <w:keepNext w:val="0"/>
        <w:keepLines w:val="0"/>
        <w:widowControl w:val="0"/>
        <w:suppressLineNumbers w:val="0"/>
        <w:spacing w:before="0" w:beforeAutospacing="0" w:after="0" w:afterAutospacing="0" w:line="580" w:lineRule="exact"/>
        <w:ind w:left="0" w:right="0"/>
        <w:jc w:val="both"/>
        <w:rPr>
          <w:rFonts w:hint="default" w:ascii="仿宋_GB2312" w:eastAsia="仿宋_GB2312" w:cs="仿宋_GB2312"/>
          <w:kern w:val="2"/>
          <w:sz w:val="32"/>
          <w:szCs w:val="32"/>
          <w:lang w:val="en-US"/>
        </w:rPr>
      </w:pPr>
      <w:r>
        <w:rPr>
          <w:rFonts w:hint="eastAsia" w:ascii="黑体" w:hAnsi="宋体" w:eastAsia="黑体" w:cs="黑体"/>
          <w:kern w:val="2"/>
          <w:sz w:val="32"/>
          <w:szCs w:val="32"/>
          <w:lang w:val="en-US" w:eastAsia="zh-CN" w:bidi="ar"/>
        </w:rPr>
        <w:t>附件3</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宋体" w:eastAsia="方正小标宋简体" w:cs="Times New Roman"/>
          <w:color w:val="000000"/>
          <w:kern w:val="0"/>
          <w:sz w:val="44"/>
          <w:szCs w:val="44"/>
          <w:lang w:val="en-US" w:eastAsia="zh-CN" w:bidi="ar"/>
        </w:rPr>
      </w:pPr>
      <w:r>
        <w:rPr>
          <w:rFonts w:hint="eastAsia" w:ascii="方正小标宋简体" w:hAnsi="宋体" w:eastAsia="方正小标宋简体" w:cs="Times New Roman"/>
          <w:color w:val="000000"/>
          <w:kern w:val="0"/>
          <w:sz w:val="44"/>
          <w:szCs w:val="44"/>
          <w:lang w:val="en-US" w:eastAsia="zh-CN" w:bidi="ar"/>
        </w:rPr>
        <w:t>2019年特殊林木培育基地等其他</w:t>
      </w:r>
    </w:p>
    <w:p>
      <w:pPr>
        <w:keepNext w:val="0"/>
        <w:keepLines w:val="0"/>
        <w:widowControl w:val="0"/>
        <w:suppressLineNumbers w:val="0"/>
        <w:spacing w:before="0" w:beforeAutospacing="0" w:after="0" w:afterAutospacing="0" w:line="600" w:lineRule="exact"/>
        <w:ind w:left="0" w:right="0"/>
        <w:jc w:val="center"/>
        <w:rPr>
          <w:rFonts w:hint="default" w:ascii="方正小标宋简体" w:hAnsi="宋体" w:eastAsia="方正小标宋简体" w:cs="Times New Roman"/>
          <w:color w:val="000000"/>
          <w:kern w:val="0"/>
          <w:sz w:val="44"/>
          <w:szCs w:val="44"/>
        </w:rPr>
      </w:pPr>
      <w:r>
        <w:rPr>
          <w:rFonts w:hint="eastAsia" w:ascii="方正小标宋简体" w:hAnsi="宋体" w:eastAsia="方正小标宋简体" w:cs="Times New Roman"/>
          <w:color w:val="000000"/>
          <w:kern w:val="0"/>
          <w:sz w:val="44"/>
          <w:szCs w:val="44"/>
          <w:lang w:val="en-US" w:eastAsia="zh-CN" w:bidi="ar"/>
        </w:rPr>
        <w:t>林业基础设施建设</w:t>
      </w:r>
      <w:r>
        <w:rPr>
          <w:rFonts w:hint="default" w:ascii="方正小标宋简体" w:hAnsi="方正小标宋简体" w:eastAsia="方正小标宋简体" w:cs="方正小标宋简体"/>
          <w:color w:val="000000"/>
          <w:kern w:val="0"/>
          <w:sz w:val="44"/>
          <w:szCs w:val="44"/>
          <w:lang w:val="en-US" w:eastAsia="zh-CN" w:bidi="ar"/>
        </w:rPr>
        <w:t>项目</w:t>
      </w:r>
    </w:p>
    <w:p>
      <w:pPr>
        <w:keepNext w:val="0"/>
        <w:keepLines w:val="0"/>
        <w:widowControl w:val="0"/>
        <w:suppressLineNumbers w:val="0"/>
        <w:spacing w:before="0" w:beforeAutospacing="0" w:after="0" w:afterAutospacing="0" w:line="600" w:lineRule="exact"/>
        <w:ind w:left="0" w:right="0"/>
        <w:jc w:val="center"/>
        <w:rPr>
          <w:rFonts w:hint="default" w:ascii="方正小标宋简体" w:hAnsi="宋体" w:eastAsia="方正小标宋简体" w:cs="Times New Roman"/>
          <w:color w:val="000000"/>
          <w:kern w:val="0"/>
          <w:sz w:val="44"/>
          <w:szCs w:val="44"/>
        </w:rPr>
      </w:pPr>
      <w:r>
        <w:rPr>
          <w:rFonts w:hint="default" w:ascii="方正小标宋简体" w:hAnsi="宋体" w:eastAsia="方正小标宋简体" w:cs="Times New Roman"/>
          <w:color w:val="000000"/>
          <w:kern w:val="0"/>
          <w:sz w:val="44"/>
          <w:szCs w:val="44"/>
          <w:lang w:val="en-US" w:eastAsia="zh-CN" w:bidi="ar"/>
        </w:rPr>
        <w:t>2019年</w:t>
      </w:r>
      <w:r>
        <w:rPr>
          <w:rFonts w:hint="default" w:ascii="方正小标宋简体" w:hAnsi="方正小标宋简体" w:eastAsia="方正小标宋简体" w:cs="方正小标宋简体"/>
          <w:color w:val="000000"/>
          <w:kern w:val="0"/>
          <w:sz w:val="44"/>
          <w:szCs w:val="44"/>
          <w:lang w:val="en-US" w:eastAsia="zh-CN" w:bidi="ar"/>
        </w:rPr>
        <w:t>绩效评价报告</w:t>
      </w:r>
    </w:p>
    <w:p>
      <w:pPr>
        <w:keepNext w:val="0"/>
        <w:keepLines w:val="0"/>
        <w:widowControl w:val="0"/>
        <w:suppressLineNumbers w:val="0"/>
        <w:spacing w:before="0" w:beforeAutospacing="0" w:after="0" w:afterAutospacing="0" w:line="600" w:lineRule="exact"/>
        <w:ind w:left="0" w:right="0"/>
        <w:jc w:val="both"/>
        <w:rPr>
          <w:rFonts w:hint="eastAsia" w:ascii="宋体" w:hAnsi="宋体" w:eastAsia="宋体" w:cs="Times New Roman"/>
          <w:kern w:val="2"/>
          <w:sz w:val="32"/>
          <w:szCs w:val="32"/>
        </w:rPr>
      </w:pPr>
      <w:r>
        <w:rPr>
          <w:rFonts w:hint="eastAsia" w:ascii="宋体" w:hAnsi="宋体" w:eastAsia="宋体"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一、项目概况</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楷体_GB2312" w:hAnsi="宋体" w:eastAsia="楷体_GB2312" w:cs="Times New Roman"/>
          <w:b w:val="0"/>
          <w:bCs/>
          <w:kern w:val="2"/>
          <w:sz w:val="32"/>
          <w:szCs w:val="32"/>
        </w:rPr>
      </w:pPr>
      <w:r>
        <w:rPr>
          <w:rFonts w:hint="eastAsia" w:ascii="楷体_GB2312" w:hAnsi="宋体" w:eastAsia="楷体_GB2312" w:cs="楷体_GB2312"/>
          <w:b w:val="0"/>
          <w:bCs/>
          <w:kern w:val="2"/>
          <w:sz w:val="32"/>
          <w:szCs w:val="32"/>
          <w:lang w:val="en-US" w:eastAsia="zh-CN" w:bidi="ar"/>
        </w:rPr>
        <w:t>（一）项目立项依据。</w:t>
      </w:r>
    </w:p>
    <w:p>
      <w:pPr>
        <w:ind w:firstLine="640" w:firstLineChars="200"/>
        <w:rPr>
          <w:rFonts w:ascii="仿宋_GB2312" w:hAnsi="仿宋" w:eastAsia="仿宋_GB2312" w:cs="仿宋"/>
          <w:sz w:val="32"/>
          <w:szCs w:val="32"/>
          <w:lang w:bidi="ar"/>
        </w:rPr>
      </w:pPr>
      <w:r>
        <w:rPr>
          <w:rFonts w:hint="eastAsia" w:ascii="仿宋_GB2312" w:hAnsi="仿宋" w:eastAsia="仿宋_GB2312" w:cs="仿宋"/>
          <w:b w:val="0"/>
          <w:bCs/>
          <w:sz w:val="32"/>
          <w:szCs w:val="32"/>
          <w:lang w:bidi="ar"/>
        </w:rPr>
        <w:t>根据阿州财投[2019]45号）文件及“</w:t>
      </w:r>
      <w:r>
        <w:rPr>
          <w:rFonts w:hint="eastAsia" w:ascii="仿宋_GB2312" w:hAnsi="仿宋" w:eastAsia="仿宋_GB2312" w:cs="仿宋"/>
          <w:sz w:val="32"/>
          <w:szCs w:val="32"/>
          <w:lang w:bidi="ar"/>
        </w:rPr>
        <w:t>阿坝州2019年特殊林木培育基地等其他林业基础设施建设中央预算内投资支出预算表”，下达投资（中央投资）阿坝州木材检查总站热党坝分站资金10.00万元设备购置采购事项</w:t>
      </w:r>
      <w:r>
        <w:rPr>
          <w:rFonts w:hint="eastAsia" w:ascii="仿宋_GB2312" w:hAnsi="仿宋" w:eastAsia="仿宋_GB2312" w:cs="仿宋"/>
          <w:sz w:val="32"/>
          <w:szCs w:val="32"/>
          <w:lang w:eastAsia="zh-CN" w:bidi="ar"/>
        </w:rPr>
        <w:t>。</w:t>
      </w:r>
    </w:p>
    <w:p>
      <w:pPr>
        <w:keepNext w:val="0"/>
        <w:keepLines w:val="0"/>
        <w:widowControl w:val="0"/>
        <w:numPr>
          <w:ilvl w:val="0"/>
          <w:numId w:val="0"/>
        </w:numPr>
        <w:suppressLineNumbers w:val="0"/>
        <w:adjustRightInd w:val="0"/>
        <w:snapToGrid w:val="0"/>
        <w:spacing w:before="0" w:beforeAutospacing="0" w:after="0" w:afterAutospacing="0" w:line="600" w:lineRule="exact"/>
        <w:ind w:left="720" w:leftChars="0" w:right="0" w:rightChars="0"/>
        <w:jc w:val="both"/>
        <w:rPr>
          <w:rFonts w:hint="default" w:ascii="仿宋_GB2312" w:hAnsi="宋体" w:eastAsia="仿宋_GB2312" w:cs="仿宋_GB2312"/>
          <w:kern w:val="2"/>
          <w:sz w:val="32"/>
          <w:szCs w:val="32"/>
          <w:lang w:val="en-US" w:eastAsia="zh-CN" w:bidi="ar"/>
        </w:rPr>
      </w:pPr>
      <w:r>
        <w:rPr>
          <w:rFonts w:hint="eastAsia" w:ascii="仿宋_GB2312" w:hAnsi="宋体" w:eastAsia="仿宋_GB2312" w:cs="Times New Roman"/>
          <w:kern w:val="2"/>
          <w:sz w:val="32"/>
          <w:szCs w:val="32"/>
          <w:lang w:val="en-US" w:eastAsia="zh-CN" w:bidi="ar"/>
        </w:rPr>
        <w:t>（二）</w:t>
      </w:r>
      <w:r>
        <w:rPr>
          <w:rFonts w:hint="default" w:ascii="仿宋_GB2312" w:hAnsi="宋体" w:eastAsia="仿宋_GB2312" w:cs="Times New Roman"/>
          <w:kern w:val="2"/>
          <w:sz w:val="32"/>
          <w:szCs w:val="32"/>
          <w:lang w:val="en-US" w:eastAsia="zh-CN" w:bidi="ar"/>
        </w:rPr>
        <w:t>项目主要内容</w:t>
      </w:r>
      <w:r>
        <w:rPr>
          <w:rFonts w:hint="default" w:ascii="仿宋_GB2312" w:hAnsi="宋体" w:eastAsia="仿宋_GB2312" w:cs="仿宋_GB2312"/>
          <w:kern w:val="2"/>
          <w:sz w:val="32"/>
          <w:szCs w:val="32"/>
          <w:lang w:val="en-US" w:eastAsia="zh-CN" w:bidi="ar"/>
        </w:rPr>
        <w:t>：</w:t>
      </w:r>
    </w:p>
    <w:p>
      <w:pPr>
        <w:keepNext w:val="0"/>
        <w:keepLines w:val="0"/>
        <w:widowControl w:val="0"/>
        <w:numPr>
          <w:ilvl w:val="0"/>
          <w:numId w:val="0"/>
        </w:numPr>
        <w:suppressLineNumbers w:val="0"/>
        <w:adjustRightInd w:val="0"/>
        <w:snapToGrid w:val="0"/>
        <w:spacing w:before="0" w:beforeAutospacing="0" w:after="0" w:afterAutospacing="0" w:line="600" w:lineRule="exact"/>
        <w:ind w:right="0" w:rightChars="0" w:firstLine="640" w:firstLineChars="200"/>
        <w:jc w:val="both"/>
        <w:rPr>
          <w:rFonts w:hint="eastAsia"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林业执法设施设备采购。</w:t>
      </w:r>
    </w:p>
    <w:p>
      <w:pPr>
        <w:keepNext w:val="0"/>
        <w:keepLines w:val="0"/>
        <w:widowControl w:val="0"/>
        <w:numPr>
          <w:ilvl w:val="0"/>
          <w:numId w:val="0"/>
        </w:numPr>
        <w:suppressLineNumbers w:val="0"/>
        <w:adjustRightInd w:val="0"/>
        <w:snapToGrid w:val="0"/>
        <w:spacing w:before="0" w:beforeAutospacing="0" w:after="0" w:afterAutospacing="0" w:line="600" w:lineRule="exact"/>
        <w:ind w:right="0" w:rightChars="0" w:firstLine="640" w:firstLineChars="200"/>
        <w:jc w:val="both"/>
        <w:rPr>
          <w:rFonts w:hint="default" w:ascii="仿宋_GB2312" w:hAnsi="宋体"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（三）项目完成情况：</w:t>
      </w:r>
      <w:r>
        <w:rPr>
          <w:rFonts w:hint="default" w:ascii="仿宋_GB2312" w:hAnsi="宋体" w:eastAsia="仿宋_GB2312" w:cs="仿宋_GB2312"/>
          <w:kern w:val="2"/>
          <w:sz w:val="32"/>
          <w:szCs w:val="32"/>
          <w:lang w:val="en-US" w:eastAsia="zh-CN" w:bidi="ar"/>
        </w:rPr>
        <w:t>经站务会通过，</w:t>
      </w:r>
      <w:r>
        <w:rPr>
          <w:rFonts w:hint="eastAsia" w:ascii="仿宋_GB2312" w:hAnsi="仿宋" w:eastAsia="仿宋_GB2312" w:cs="仿宋"/>
          <w:sz w:val="32"/>
          <w:szCs w:val="32"/>
          <w:lang w:eastAsia="zh-CN" w:bidi="ar"/>
        </w:rPr>
        <w:t>成立采购小组并制定出实施方案，</w:t>
      </w:r>
      <w:r>
        <w:rPr>
          <w:rFonts w:hint="eastAsia" w:ascii="仿宋_GB2312" w:hAnsi="仿宋" w:eastAsia="仿宋_GB2312" w:cs="仿宋"/>
          <w:sz w:val="32"/>
          <w:szCs w:val="32"/>
          <w:lang w:bidi="ar"/>
        </w:rPr>
        <w:t>报经阿坝州林草局批准（阿州林草发[2019]193号）并在阿坝州财政局备案（网上竞价、商场直购）；</w:t>
      </w:r>
      <w:r>
        <w:rPr>
          <w:rFonts w:hint="default" w:ascii="仿宋_GB2312" w:hAnsi="宋体" w:eastAsia="仿宋_GB2312" w:cs="仿宋_GB2312"/>
          <w:kern w:val="2"/>
          <w:sz w:val="32"/>
          <w:szCs w:val="32"/>
          <w:lang w:val="en-US" w:eastAsia="zh-CN" w:bidi="ar"/>
        </w:rPr>
        <w:t>用于</w:t>
      </w:r>
      <w:r>
        <w:rPr>
          <w:rFonts w:hint="eastAsia" w:ascii="仿宋_GB2312" w:hAnsi="宋体" w:eastAsia="仿宋_GB2312" w:cs="仿宋_GB2312"/>
          <w:kern w:val="2"/>
          <w:sz w:val="32"/>
          <w:szCs w:val="32"/>
          <w:lang w:val="en-US" w:eastAsia="zh-CN" w:bidi="ar"/>
        </w:rPr>
        <w:t>采购林业执法设施设备；</w:t>
      </w:r>
    </w:p>
    <w:p>
      <w:pPr>
        <w:ind w:firstLine="640" w:firstLineChars="200"/>
        <w:rPr>
          <w:rFonts w:hint="default" w:ascii="仿宋_GB2312" w:hAnsi="宋体" w:eastAsia="仿宋_GB2312" w:cs="仿宋_GB2312"/>
          <w:kern w:val="2"/>
          <w:sz w:val="32"/>
          <w:szCs w:val="32"/>
          <w:lang w:val="en-US" w:eastAsia="zh-CN" w:bidi="ar"/>
        </w:rPr>
      </w:pPr>
      <w:r>
        <w:rPr>
          <w:rFonts w:hint="eastAsia" w:ascii="仿宋_GB2312" w:hAnsi="仿宋" w:eastAsia="仿宋_GB2312" w:cs="仿宋"/>
          <w:sz w:val="32"/>
          <w:szCs w:val="32"/>
          <w:lang w:bidi="ar"/>
        </w:rPr>
        <w:t>按照政府采购程序，实际支付采购金额9.41万元，顺利完成了林业执法设备采购任务。所购资产按相关要求记入我单位固定资产帐，在四川资产信息管理网站录入。</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楷体_GB2312" w:hAnsi="宋体" w:eastAsia="楷体_GB2312" w:cs="Times New Roman"/>
          <w:b/>
          <w:kern w:val="2"/>
          <w:sz w:val="32"/>
          <w:szCs w:val="32"/>
        </w:rPr>
      </w:pPr>
      <w:r>
        <w:rPr>
          <w:rFonts w:hint="eastAsia" w:ascii="楷体_GB2312" w:hAnsi="宋体" w:eastAsia="楷体_GB2312" w:cs="楷体_GB2312"/>
          <w:b/>
          <w:kern w:val="2"/>
          <w:sz w:val="32"/>
          <w:szCs w:val="32"/>
          <w:lang w:val="en-US" w:eastAsia="zh-CN" w:bidi="ar"/>
        </w:rPr>
        <w:t>二、</w:t>
      </w:r>
      <w:r>
        <w:rPr>
          <w:rFonts w:hint="eastAsia" w:ascii="黑体" w:hAnsi="宋体" w:eastAsia="黑体" w:cs="黑体"/>
          <w:kern w:val="2"/>
          <w:sz w:val="32"/>
          <w:szCs w:val="32"/>
          <w:lang w:val="en-US" w:eastAsia="zh-CN" w:bidi="ar"/>
        </w:rPr>
        <w:t>项目绩效情况</w:t>
      </w:r>
      <w:r>
        <w:rPr>
          <w:rFonts w:hint="eastAsia" w:ascii="楷体_GB2312" w:hAnsi="宋体" w:eastAsia="楷体_GB2312" w:cs="楷体_GB2312"/>
          <w:b/>
          <w:kern w:val="2"/>
          <w:sz w:val="32"/>
          <w:szCs w:val="32"/>
          <w:lang w:val="en-US" w:eastAsia="zh-CN" w:bidi="ar"/>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555"/>
        <w:jc w:val="left"/>
        <w:rPr>
          <w:rFonts w:hint="eastAsia"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 xml:space="preserve">绩效目标和实施计划: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555"/>
        <w:jc w:val="left"/>
        <w:rPr>
          <w:rFonts w:hint="default" w:ascii="仿宋_GB2312" w:hAnsi="宋体"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通过购置林业执法设施设备，从整体上提高木材检查站执法效率和应变能力，提高队伍的办公效率，逐步实现木材检查站的基础设施和技术装备的标准化，执法程序规范化，执法手段现代化，为木材流通运输、森利资源的恢复与发展以及实现林业又好又快发展提供保障。</w:t>
      </w:r>
      <w:bookmarkStart w:id="74" w:name="_GoBack"/>
      <w:bookmarkEnd w:id="74"/>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555"/>
        <w:jc w:val="left"/>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2</w:t>
      </w:r>
      <w:r>
        <w:rPr>
          <w:rFonts w:hint="default" w:ascii="仿宋_GB2312" w:hAnsi="Times New Roman" w:eastAsia="仿宋_GB2312" w:cs="仿宋_GB2312"/>
          <w:kern w:val="2"/>
          <w:sz w:val="32"/>
          <w:szCs w:val="32"/>
          <w:lang w:val="en-US" w:eastAsia="zh-CN" w:bidi="ar"/>
        </w:rPr>
        <w:t>.项目申报目标合理性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555"/>
        <w:jc w:val="left"/>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申报项目与实际相符，申报目标合理可行。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555"/>
        <w:jc w:val="left"/>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3.项目自评步骤及方法。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525" w:lineRule="atLeast"/>
        <w:ind w:left="0" w:right="0" w:firstLine="555"/>
        <w:jc w:val="left"/>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项目未开展自评</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楷体_GB2312" w:hAnsi="宋体" w:eastAsia="楷体_GB2312" w:cs="Times New Roman"/>
          <w:b/>
          <w:kern w:val="2"/>
          <w:sz w:val="32"/>
          <w:szCs w:val="32"/>
        </w:rPr>
      </w:pPr>
      <w:r>
        <w:rPr>
          <w:rFonts w:hint="eastAsia" w:ascii="楷体_GB2312" w:hAnsi="宋体" w:eastAsia="楷体_GB2312" w:cs="楷体_GB2312"/>
          <w:b w:val="0"/>
          <w:bCs/>
          <w:kern w:val="2"/>
          <w:sz w:val="32"/>
          <w:szCs w:val="32"/>
          <w:lang w:val="en-US" w:eastAsia="zh-CN" w:bidi="ar"/>
        </w:rPr>
        <w:t>2、项目效益情况</w:t>
      </w:r>
      <w:r>
        <w:rPr>
          <w:rFonts w:hint="eastAsia" w:ascii="楷体_GB2312" w:hAnsi="宋体" w:eastAsia="楷体_GB2312" w:cs="楷体_GB2312"/>
          <w:b/>
          <w:kern w:val="2"/>
          <w:sz w:val="32"/>
          <w:szCs w:val="32"/>
          <w:lang w:val="en-US" w:eastAsia="zh-CN" w:bidi="ar"/>
        </w:rPr>
        <w:t>。</w:t>
      </w:r>
    </w:p>
    <w:p>
      <w:pPr>
        <w:keepNext w:val="0"/>
        <w:keepLines w:val="0"/>
        <w:widowControl w:val="0"/>
        <w:suppressLineNumbers w:val="0"/>
        <w:adjustRightInd w:val="0"/>
        <w:snapToGrid w:val="0"/>
        <w:spacing w:before="0" w:beforeAutospacing="0" w:after="0" w:afterAutospacing="0" w:line="540" w:lineRule="atLeas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为</w:t>
      </w:r>
      <w:r>
        <w:rPr>
          <w:rFonts w:hint="eastAsia" w:ascii="仿宋_GB2312" w:hAnsi="Times New Roman" w:eastAsia="仿宋_GB2312" w:cs="仿宋_GB2312"/>
          <w:kern w:val="2"/>
          <w:sz w:val="32"/>
          <w:szCs w:val="32"/>
          <w:lang w:val="en-US" w:eastAsia="zh-CN" w:bidi="ar"/>
        </w:rPr>
        <w:t>林业行政执法技术装备的标准化，执法手段现代化</w:t>
      </w:r>
      <w:r>
        <w:rPr>
          <w:rFonts w:hint="eastAsia" w:ascii="仿宋_GB2312" w:eastAsia="仿宋_GB2312" w:cs="仿宋_GB2312"/>
          <w:kern w:val="2"/>
          <w:sz w:val="32"/>
          <w:szCs w:val="32"/>
          <w:lang w:val="en-US" w:eastAsia="zh-CN" w:bidi="ar"/>
        </w:rPr>
        <w:t>提供了有力保障</w:t>
      </w:r>
      <w:r>
        <w:rPr>
          <w:rFonts w:hint="eastAsia" w:ascii="仿宋_GB2312" w:hAnsi="Times New Roman" w:eastAsia="仿宋_GB2312" w:cs="仿宋_GB2312"/>
          <w:kern w:val="2"/>
          <w:sz w:val="32"/>
          <w:szCs w:val="32"/>
          <w:lang w:val="en-US" w:eastAsia="zh-CN" w:bidi="ar"/>
        </w:rPr>
        <w:t>，解决</w:t>
      </w:r>
      <w:r>
        <w:rPr>
          <w:rFonts w:hint="eastAsia" w:ascii="仿宋_GB2312" w:eastAsia="仿宋_GB2312" w:cs="仿宋_GB2312"/>
          <w:kern w:val="2"/>
          <w:sz w:val="32"/>
          <w:szCs w:val="32"/>
          <w:lang w:val="en-US" w:eastAsia="zh-CN" w:bidi="ar"/>
        </w:rPr>
        <w:t>了</w:t>
      </w:r>
      <w:r>
        <w:rPr>
          <w:rFonts w:hint="eastAsia" w:ascii="仿宋_GB2312" w:hAnsi="Times New Roman" w:eastAsia="仿宋_GB2312" w:cs="仿宋_GB2312"/>
          <w:kern w:val="2"/>
          <w:sz w:val="32"/>
          <w:szCs w:val="32"/>
          <w:lang w:val="en-US" w:eastAsia="zh-CN" w:bidi="ar"/>
        </w:rPr>
        <w:t>单位设施设备短缺问题。</w:t>
      </w:r>
    </w:p>
    <w:p>
      <w:pPr>
        <w:keepNext w:val="0"/>
        <w:keepLines w:val="0"/>
        <w:widowControl w:val="0"/>
        <w:suppressLineNumbers w:val="0"/>
        <w:adjustRightInd w:val="0"/>
        <w:snapToGrid w:val="0"/>
        <w:spacing w:before="0" w:beforeAutospacing="0" w:after="0" w:afterAutospacing="0" w:line="600" w:lineRule="exact"/>
        <w:ind w:left="0" w:right="0" w:firstLine="720"/>
        <w:jc w:val="both"/>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三、评价结论及建议</w:t>
      </w:r>
    </w:p>
    <w:p>
      <w:pPr>
        <w:keepNext w:val="0"/>
        <w:keepLines w:val="0"/>
        <w:widowControl/>
        <w:suppressLineNumbers w:val="0"/>
        <w:adjustRightInd w:val="0"/>
        <w:snapToGrid w:val="0"/>
        <w:spacing w:before="0" w:beforeAutospacing="0" w:after="0" w:afterAutospacing="0" w:line="580" w:lineRule="exact"/>
        <w:ind w:left="0" w:right="0" w:firstLine="640" w:firstLineChars="200"/>
        <w:contextualSpacing/>
        <w:jc w:val="left"/>
        <w:rPr>
          <w:rFonts w:hint="eastAsia" w:ascii="楷体_GB2312" w:hAnsi="宋体" w:eastAsia="楷体_GB2312" w:cs="Times New Roman"/>
          <w:b/>
          <w:kern w:val="2"/>
          <w:sz w:val="32"/>
          <w:szCs w:val="32"/>
        </w:rPr>
      </w:pPr>
      <w:r>
        <w:rPr>
          <w:rFonts w:hint="default" w:ascii="仿宋_GB2312" w:hAnsi="仿宋" w:eastAsia="仿宋_GB2312" w:cs="仿宋_GB2312"/>
          <w:kern w:val="2"/>
          <w:sz w:val="32"/>
          <w:szCs w:val="32"/>
          <w:lang w:val="en-US" w:eastAsia="zh-CN" w:bidi="ar"/>
        </w:rPr>
        <w:t>本部门强化预算管理，严格按照财经制度刚性约束</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
          <w:sz w:val="32"/>
          <w:szCs w:val="32"/>
          <w:lang w:bidi="ar"/>
        </w:rPr>
        <w:t>按照政府采购程序</w:t>
      </w:r>
      <w:r>
        <w:rPr>
          <w:rFonts w:hint="default" w:ascii="仿宋_GB2312" w:hAnsi="仿宋" w:eastAsia="仿宋_GB2312" w:cs="仿宋_GB2312"/>
          <w:kern w:val="2"/>
          <w:sz w:val="32"/>
          <w:szCs w:val="32"/>
          <w:lang w:val="en-US" w:eastAsia="zh-CN" w:bidi="ar"/>
        </w:rPr>
        <w:t>，实施绩效目标管理，实行专款专用，支出科学合理，无违规现象。</w:t>
      </w:r>
    </w:p>
    <w:p>
      <w:pPr>
        <w:keepNext w:val="0"/>
        <w:keepLines w:val="0"/>
        <w:widowControl w:val="0"/>
        <w:suppressLineNumbers w:val="0"/>
        <w:spacing w:before="0" w:beforeAutospacing="0" w:after="0" w:afterAutospacing="0" w:line="580" w:lineRule="exact"/>
        <w:ind w:left="0" w:right="0" w:firstLine="64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80" w:lineRule="exact"/>
        <w:ind w:left="0" w:right="0" w:firstLine="64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黑体" w:hAnsi="宋体" w:eastAsia="黑体" w:cs="黑体"/>
          <w:b w:val="0"/>
          <w:kern w:val="44"/>
          <w:sz w:val="44"/>
          <w:szCs w:val="44"/>
        </w:rPr>
      </w:pPr>
      <w:r>
        <w:rPr>
          <w:rFonts w:hint="eastAsia" w:ascii="黑体" w:hAnsi="宋体" w:eastAsia="黑体" w:cs="黑体"/>
          <w:b w:val="0"/>
          <w:kern w:val="44"/>
          <w:sz w:val="44"/>
          <w:szCs w:val="4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黑体" w:hAnsi="黑体" w:eastAsia="黑体"/>
          <w:color w:val="000000"/>
          <w:sz w:val="44"/>
          <w:szCs w:val="44"/>
        </w:rPr>
      </w:pPr>
      <w:r>
        <w:rPr>
          <w:rFonts w:hint="eastAsia" w:ascii="黑体" w:hAnsi="宋体" w:eastAsia="黑体" w:cs="黑体"/>
          <w:b w:val="0"/>
          <w:kern w:val="44"/>
          <w:sz w:val="44"/>
          <w:szCs w:val="44"/>
          <w:lang w:val="en-US" w:eastAsia="zh-CN" w:bidi="ar"/>
        </w:rPr>
        <w:br w:type="page"/>
      </w:r>
      <w:bookmarkStart w:id="60" w:name="_Toc15396618"/>
    </w:p>
    <w:p>
      <w:pPr>
        <w:spacing w:line="600" w:lineRule="exact"/>
        <w:jc w:val="center"/>
        <w:outlineLvl w:val="0"/>
        <w:rPr>
          <w:rFonts w:ascii="仿宋" w:hAnsi="仿宋" w:eastAsia="仿宋"/>
          <w:b/>
          <w:color w:val="000000"/>
          <w:sz w:val="44"/>
          <w:szCs w:val="44"/>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0"/>
    </w:p>
    <w:p>
      <w:pPr>
        <w:pStyle w:val="3"/>
        <w:rPr>
          <w:rFonts w:ascii="仿宋" w:hAnsi="仿宋" w:eastAsia="仿宋"/>
          <w:color w:val="000000"/>
        </w:rPr>
      </w:pPr>
      <w:bookmarkStart w:id="61"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1"/>
    </w:p>
    <w:p>
      <w:pPr>
        <w:pStyle w:val="3"/>
        <w:rPr>
          <w:rFonts w:ascii="仿宋" w:hAnsi="仿宋" w:eastAsia="仿宋"/>
          <w:color w:val="000000"/>
        </w:rPr>
      </w:pPr>
      <w:bookmarkStart w:id="62"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2"/>
    </w:p>
    <w:p>
      <w:pPr>
        <w:pStyle w:val="3"/>
        <w:rPr>
          <w:rFonts w:ascii="仿宋" w:hAnsi="仿宋" w:eastAsia="仿宋"/>
          <w:color w:val="000000"/>
        </w:rPr>
      </w:pPr>
      <w:bookmarkStart w:id="63"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3"/>
    </w:p>
    <w:p>
      <w:pPr>
        <w:pStyle w:val="3"/>
        <w:rPr>
          <w:rFonts w:ascii="仿宋" w:hAnsi="仿宋" w:eastAsia="仿宋"/>
          <w:b w:val="0"/>
          <w:color w:val="000000"/>
        </w:rPr>
      </w:pPr>
      <w:bookmarkStart w:id="64"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4"/>
    </w:p>
    <w:p>
      <w:pPr>
        <w:pStyle w:val="3"/>
        <w:rPr>
          <w:rStyle w:val="26"/>
          <w:rFonts w:ascii="仿宋" w:hAnsi="仿宋" w:eastAsia="仿宋"/>
          <w:b w:val="0"/>
          <w:bCs w:val="0"/>
        </w:rPr>
      </w:pPr>
      <w:bookmarkStart w:id="65"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5"/>
      <w:bookmarkStart w:id="66"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6"/>
    </w:p>
    <w:p>
      <w:pPr>
        <w:pStyle w:val="3"/>
        <w:rPr>
          <w:rFonts w:ascii="仿宋" w:hAnsi="仿宋" w:eastAsia="仿宋"/>
          <w:color w:val="000000"/>
        </w:rPr>
      </w:pPr>
      <w:bookmarkStart w:id="67"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7"/>
    </w:p>
    <w:p>
      <w:pPr>
        <w:pStyle w:val="3"/>
        <w:rPr>
          <w:rFonts w:ascii="仿宋" w:hAnsi="仿宋" w:eastAsia="仿宋"/>
          <w:color w:val="000000"/>
        </w:rPr>
      </w:pPr>
      <w:bookmarkStart w:id="68"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8"/>
    </w:p>
    <w:p>
      <w:pPr>
        <w:pStyle w:val="3"/>
        <w:rPr>
          <w:rFonts w:ascii="仿宋" w:hAnsi="仿宋" w:eastAsia="仿宋"/>
          <w:color w:val="000000"/>
        </w:rPr>
      </w:pPr>
      <w:bookmarkStart w:id="69"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9"/>
    </w:p>
    <w:p>
      <w:pPr>
        <w:pStyle w:val="3"/>
        <w:rPr>
          <w:rFonts w:ascii="仿宋" w:hAnsi="仿宋" w:eastAsia="仿宋"/>
          <w:color w:val="000000"/>
        </w:rPr>
      </w:pPr>
      <w:bookmarkStart w:id="70"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0"/>
    </w:p>
    <w:p>
      <w:pPr>
        <w:pStyle w:val="3"/>
        <w:rPr>
          <w:rFonts w:ascii="仿宋" w:hAnsi="仿宋" w:eastAsia="仿宋"/>
          <w:color w:val="000000"/>
        </w:rPr>
      </w:pPr>
      <w:bookmarkStart w:id="71"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1"/>
    </w:p>
    <w:p>
      <w:pPr>
        <w:pStyle w:val="3"/>
        <w:rPr>
          <w:rFonts w:ascii="仿宋" w:hAnsi="仿宋" w:eastAsia="仿宋"/>
          <w:color w:val="000000"/>
        </w:rPr>
      </w:pPr>
      <w:bookmarkStart w:id="72"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2"/>
    </w:p>
    <w:p>
      <w:pPr>
        <w:pStyle w:val="3"/>
        <w:rPr>
          <w:rFonts w:ascii="仿宋" w:hAnsi="仿宋" w:eastAsia="仿宋"/>
          <w:color w:val="000000" w:themeColor="text1"/>
        </w:rPr>
      </w:pPr>
      <w:bookmarkStart w:id="73"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40B41"/>
    <w:multiLevelType w:val="singleLevel"/>
    <w:tmpl w:val="82040B41"/>
    <w:lvl w:ilvl="0" w:tentative="0">
      <w:start w:val="3"/>
      <w:numFmt w:val="decimal"/>
      <w:suff w:val="nothing"/>
      <w:lvlText w:val="%1、"/>
      <w:lvlJc w:val="left"/>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79DCF8C"/>
    <w:multiLevelType w:val="singleLevel"/>
    <w:tmpl w:val="E79DCF8C"/>
    <w:lvl w:ilvl="0" w:tentative="0">
      <w:start w:val="2"/>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2384F4D"/>
    <w:multiLevelType w:val="singleLevel"/>
    <w:tmpl w:val="32384F4D"/>
    <w:lvl w:ilvl="0" w:tentative="0">
      <w:start w:val="1"/>
      <w:numFmt w:val="chineseCounting"/>
      <w:suff w:val="nothing"/>
      <w:lvlText w:val="（%1）"/>
      <w:lvlJc w:val="left"/>
      <w:rPr>
        <w:rFonts w:hint="eastAsia"/>
      </w:rPr>
    </w:lvl>
  </w:abstractNum>
  <w:abstractNum w:abstractNumId="6">
    <w:nsid w:val="77953A6D"/>
    <w:multiLevelType w:val="singleLevel"/>
    <w:tmpl w:val="77953A6D"/>
    <w:lvl w:ilvl="0" w:tentative="0">
      <w:start w:val="1"/>
      <w:numFmt w:val="decimal"/>
      <w:lvlText w:val="%1."/>
      <w:lvlJc w:val="left"/>
      <w:pPr>
        <w:tabs>
          <w:tab w:val="left" w:pos="312"/>
        </w:tabs>
      </w:pPr>
    </w:lvl>
  </w:abstractNum>
  <w:abstractNum w:abstractNumId="7">
    <w:nsid w:val="7C6D9C9D"/>
    <w:multiLevelType w:val="singleLevel"/>
    <w:tmpl w:val="7C6D9C9D"/>
    <w:lvl w:ilvl="0" w:tentative="0">
      <w:start w:val="1"/>
      <w:numFmt w:val="chineseCounting"/>
      <w:suff w:val="nothing"/>
      <w:lvlText w:val="（%1）"/>
      <w:lvlJc w:val="left"/>
      <w:pPr>
        <w:ind w:left="280" w:leftChars="0" w:firstLine="0" w:firstLineChars="0"/>
      </w:pPr>
      <w:rPr>
        <w:rFonts w:hint="eastAsia"/>
      </w:r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1CF9"/>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A4359"/>
    <w:rsid w:val="01612C6D"/>
    <w:rsid w:val="018427AA"/>
    <w:rsid w:val="01F85517"/>
    <w:rsid w:val="01FD7334"/>
    <w:rsid w:val="021F3365"/>
    <w:rsid w:val="029863D0"/>
    <w:rsid w:val="0345538E"/>
    <w:rsid w:val="034C1558"/>
    <w:rsid w:val="03D62BB2"/>
    <w:rsid w:val="03EC53D1"/>
    <w:rsid w:val="03F47387"/>
    <w:rsid w:val="040C0E4D"/>
    <w:rsid w:val="04641FB2"/>
    <w:rsid w:val="04F63082"/>
    <w:rsid w:val="0513534C"/>
    <w:rsid w:val="056B2E2E"/>
    <w:rsid w:val="05DC631C"/>
    <w:rsid w:val="05FA6637"/>
    <w:rsid w:val="05FD2845"/>
    <w:rsid w:val="05FF1640"/>
    <w:rsid w:val="062806E6"/>
    <w:rsid w:val="062A0572"/>
    <w:rsid w:val="069F0437"/>
    <w:rsid w:val="06B90264"/>
    <w:rsid w:val="06E4419B"/>
    <w:rsid w:val="07972358"/>
    <w:rsid w:val="0837131D"/>
    <w:rsid w:val="084B7CCB"/>
    <w:rsid w:val="08674CDD"/>
    <w:rsid w:val="08D430C2"/>
    <w:rsid w:val="08E6030E"/>
    <w:rsid w:val="09644EC1"/>
    <w:rsid w:val="09A90377"/>
    <w:rsid w:val="0A250403"/>
    <w:rsid w:val="0A965AF2"/>
    <w:rsid w:val="0AA1318C"/>
    <w:rsid w:val="0ACE4179"/>
    <w:rsid w:val="0B284D1A"/>
    <w:rsid w:val="0BAF382D"/>
    <w:rsid w:val="0BD81E39"/>
    <w:rsid w:val="0C4F0331"/>
    <w:rsid w:val="0D711231"/>
    <w:rsid w:val="0DCC339B"/>
    <w:rsid w:val="0E020FE9"/>
    <w:rsid w:val="0E0871FA"/>
    <w:rsid w:val="0E196CE6"/>
    <w:rsid w:val="0ED26227"/>
    <w:rsid w:val="0EFF3A68"/>
    <w:rsid w:val="0F982CEF"/>
    <w:rsid w:val="10A955AF"/>
    <w:rsid w:val="10C055FF"/>
    <w:rsid w:val="10E10E17"/>
    <w:rsid w:val="11D409A4"/>
    <w:rsid w:val="11E23154"/>
    <w:rsid w:val="12AA678B"/>
    <w:rsid w:val="13085697"/>
    <w:rsid w:val="13DC3143"/>
    <w:rsid w:val="142068D3"/>
    <w:rsid w:val="14AD389A"/>
    <w:rsid w:val="154B0746"/>
    <w:rsid w:val="16864D04"/>
    <w:rsid w:val="16B91CEE"/>
    <w:rsid w:val="16BB723D"/>
    <w:rsid w:val="17136799"/>
    <w:rsid w:val="183071AA"/>
    <w:rsid w:val="189B6497"/>
    <w:rsid w:val="191D7A1F"/>
    <w:rsid w:val="194C70AF"/>
    <w:rsid w:val="19C02BF8"/>
    <w:rsid w:val="1A2E3A5E"/>
    <w:rsid w:val="1A5642AD"/>
    <w:rsid w:val="1A8B00D3"/>
    <w:rsid w:val="1ABB18F8"/>
    <w:rsid w:val="1AE35325"/>
    <w:rsid w:val="1B21457B"/>
    <w:rsid w:val="1B434860"/>
    <w:rsid w:val="1BCD3C55"/>
    <w:rsid w:val="1C301DD8"/>
    <w:rsid w:val="1C481010"/>
    <w:rsid w:val="1CDC5BFB"/>
    <w:rsid w:val="1D580E73"/>
    <w:rsid w:val="1DB65B5A"/>
    <w:rsid w:val="1E216BFE"/>
    <w:rsid w:val="1F5C6F38"/>
    <w:rsid w:val="203816EE"/>
    <w:rsid w:val="207D19C8"/>
    <w:rsid w:val="209D16AB"/>
    <w:rsid w:val="21250E4E"/>
    <w:rsid w:val="214631E6"/>
    <w:rsid w:val="21685E6C"/>
    <w:rsid w:val="218F4550"/>
    <w:rsid w:val="21D37C50"/>
    <w:rsid w:val="22161505"/>
    <w:rsid w:val="2269671E"/>
    <w:rsid w:val="22E377F1"/>
    <w:rsid w:val="232C742C"/>
    <w:rsid w:val="235B4C49"/>
    <w:rsid w:val="240371BF"/>
    <w:rsid w:val="243B7B4F"/>
    <w:rsid w:val="25BB41B7"/>
    <w:rsid w:val="26A954D3"/>
    <w:rsid w:val="26AB22FF"/>
    <w:rsid w:val="26B11BF2"/>
    <w:rsid w:val="26B974C5"/>
    <w:rsid w:val="27091BC3"/>
    <w:rsid w:val="276D10A3"/>
    <w:rsid w:val="277D4BA6"/>
    <w:rsid w:val="27D3696C"/>
    <w:rsid w:val="27DB2E43"/>
    <w:rsid w:val="289660B1"/>
    <w:rsid w:val="28C51326"/>
    <w:rsid w:val="28DF4137"/>
    <w:rsid w:val="298E3938"/>
    <w:rsid w:val="29FD04D3"/>
    <w:rsid w:val="2A2B3474"/>
    <w:rsid w:val="2AA32E74"/>
    <w:rsid w:val="2ACF49FA"/>
    <w:rsid w:val="2AD451FA"/>
    <w:rsid w:val="2B2D1A30"/>
    <w:rsid w:val="2B5E5846"/>
    <w:rsid w:val="2B6436CD"/>
    <w:rsid w:val="2B825F5B"/>
    <w:rsid w:val="2B9D5102"/>
    <w:rsid w:val="2BB5540B"/>
    <w:rsid w:val="2BB75477"/>
    <w:rsid w:val="2C572073"/>
    <w:rsid w:val="2CC51B22"/>
    <w:rsid w:val="2CFB7E57"/>
    <w:rsid w:val="2CFC3BE1"/>
    <w:rsid w:val="2F191B5C"/>
    <w:rsid w:val="2F406091"/>
    <w:rsid w:val="2F6376B6"/>
    <w:rsid w:val="300F00DE"/>
    <w:rsid w:val="31510D1A"/>
    <w:rsid w:val="31766702"/>
    <w:rsid w:val="318A32FE"/>
    <w:rsid w:val="319F7F4E"/>
    <w:rsid w:val="31DF2AFF"/>
    <w:rsid w:val="323F2ACE"/>
    <w:rsid w:val="33052D3D"/>
    <w:rsid w:val="33400A52"/>
    <w:rsid w:val="33A11288"/>
    <w:rsid w:val="33CC698A"/>
    <w:rsid w:val="33DE013D"/>
    <w:rsid w:val="340762CB"/>
    <w:rsid w:val="3435310B"/>
    <w:rsid w:val="3444504A"/>
    <w:rsid w:val="346E0BC6"/>
    <w:rsid w:val="34844F9E"/>
    <w:rsid w:val="353F290D"/>
    <w:rsid w:val="354F2104"/>
    <w:rsid w:val="35895108"/>
    <w:rsid w:val="36456841"/>
    <w:rsid w:val="36A1124D"/>
    <w:rsid w:val="371E4421"/>
    <w:rsid w:val="378922B2"/>
    <w:rsid w:val="37AB639C"/>
    <w:rsid w:val="37D46B00"/>
    <w:rsid w:val="388371D7"/>
    <w:rsid w:val="398F2C35"/>
    <w:rsid w:val="3A55709A"/>
    <w:rsid w:val="3A893EB7"/>
    <w:rsid w:val="3AAD710C"/>
    <w:rsid w:val="3B473DDA"/>
    <w:rsid w:val="3B857577"/>
    <w:rsid w:val="3BC95275"/>
    <w:rsid w:val="3BCB4E65"/>
    <w:rsid w:val="3C017D98"/>
    <w:rsid w:val="3C4B28D3"/>
    <w:rsid w:val="3C60307B"/>
    <w:rsid w:val="3CE34FE7"/>
    <w:rsid w:val="3D1E20FD"/>
    <w:rsid w:val="3E0858C2"/>
    <w:rsid w:val="3E1C241D"/>
    <w:rsid w:val="3EA05F59"/>
    <w:rsid w:val="3F993E0A"/>
    <w:rsid w:val="3F9A5866"/>
    <w:rsid w:val="3F9E02F0"/>
    <w:rsid w:val="3F9F242B"/>
    <w:rsid w:val="3FDB4A7D"/>
    <w:rsid w:val="3FE27E2B"/>
    <w:rsid w:val="402F7480"/>
    <w:rsid w:val="40467E5D"/>
    <w:rsid w:val="40EC2DDD"/>
    <w:rsid w:val="417D377D"/>
    <w:rsid w:val="42EE6EB6"/>
    <w:rsid w:val="436149A6"/>
    <w:rsid w:val="438F5A08"/>
    <w:rsid w:val="43E87CA3"/>
    <w:rsid w:val="44064F09"/>
    <w:rsid w:val="44D45DD8"/>
    <w:rsid w:val="45652F55"/>
    <w:rsid w:val="45741640"/>
    <w:rsid w:val="46357BF9"/>
    <w:rsid w:val="469D00B7"/>
    <w:rsid w:val="46BE78EC"/>
    <w:rsid w:val="47361ABE"/>
    <w:rsid w:val="473F7AD6"/>
    <w:rsid w:val="477E7302"/>
    <w:rsid w:val="480B5864"/>
    <w:rsid w:val="48272C5B"/>
    <w:rsid w:val="48D026D6"/>
    <w:rsid w:val="499D5B51"/>
    <w:rsid w:val="4AB4655D"/>
    <w:rsid w:val="4AE30E83"/>
    <w:rsid w:val="4B1F4A27"/>
    <w:rsid w:val="4C1C4AFD"/>
    <w:rsid w:val="4C2411C7"/>
    <w:rsid w:val="4C77663E"/>
    <w:rsid w:val="4D020E72"/>
    <w:rsid w:val="4D2C05A7"/>
    <w:rsid w:val="4DF67E3A"/>
    <w:rsid w:val="4E726C26"/>
    <w:rsid w:val="4ECE2238"/>
    <w:rsid w:val="4FA024C3"/>
    <w:rsid w:val="4FF40408"/>
    <w:rsid w:val="50B232AE"/>
    <w:rsid w:val="52167287"/>
    <w:rsid w:val="5228360D"/>
    <w:rsid w:val="5361290E"/>
    <w:rsid w:val="538010DA"/>
    <w:rsid w:val="54997D46"/>
    <w:rsid w:val="54AF4FFE"/>
    <w:rsid w:val="54E83E45"/>
    <w:rsid w:val="552618DE"/>
    <w:rsid w:val="563323C5"/>
    <w:rsid w:val="57716879"/>
    <w:rsid w:val="577B7C15"/>
    <w:rsid w:val="57B9362E"/>
    <w:rsid w:val="58952A40"/>
    <w:rsid w:val="590239C8"/>
    <w:rsid w:val="59E80597"/>
    <w:rsid w:val="5A181904"/>
    <w:rsid w:val="5A613767"/>
    <w:rsid w:val="5A800F07"/>
    <w:rsid w:val="5A853093"/>
    <w:rsid w:val="5A93517A"/>
    <w:rsid w:val="5AE43696"/>
    <w:rsid w:val="5AE94E48"/>
    <w:rsid w:val="5B4A7C90"/>
    <w:rsid w:val="5B592D8B"/>
    <w:rsid w:val="5C692B47"/>
    <w:rsid w:val="5C996DBA"/>
    <w:rsid w:val="5D1826EA"/>
    <w:rsid w:val="5DE810DB"/>
    <w:rsid w:val="5E0402D2"/>
    <w:rsid w:val="5E126CDA"/>
    <w:rsid w:val="5E2B3378"/>
    <w:rsid w:val="5EFC3A3A"/>
    <w:rsid w:val="5F1F2D13"/>
    <w:rsid w:val="5F783880"/>
    <w:rsid w:val="5FBD78B1"/>
    <w:rsid w:val="60E84288"/>
    <w:rsid w:val="61497646"/>
    <w:rsid w:val="61C478D5"/>
    <w:rsid w:val="61F05B7A"/>
    <w:rsid w:val="62594350"/>
    <w:rsid w:val="62723A81"/>
    <w:rsid w:val="629E73DD"/>
    <w:rsid w:val="62C56D4D"/>
    <w:rsid w:val="62FE235B"/>
    <w:rsid w:val="63BA49FA"/>
    <w:rsid w:val="63F6508F"/>
    <w:rsid w:val="64997B3A"/>
    <w:rsid w:val="659A6ECE"/>
    <w:rsid w:val="65AF31B6"/>
    <w:rsid w:val="663C6866"/>
    <w:rsid w:val="6655483F"/>
    <w:rsid w:val="677C3BB5"/>
    <w:rsid w:val="67912811"/>
    <w:rsid w:val="684525CE"/>
    <w:rsid w:val="68BF7639"/>
    <w:rsid w:val="69333C3C"/>
    <w:rsid w:val="69A9383F"/>
    <w:rsid w:val="69CA0DFF"/>
    <w:rsid w:val="69CE4D4A"/>
    <w:rsid w:val="6A1923E4"/>
    <w:rsid w:val="6A3852B6"/>
    <w:rsid w:val="6A393B9D"/>
    <w:rsid w:val="6AAA6688"/>
    <w:rsid w:val="6AC50217"/>
    <w:rsid w:val="6B452569"/>
    <w:rsid w:val="6B7D102D"/>
    <w:rsid w:val="6C1516CA"/>
    <w:rsid w:val="6C8B4BB6"/>
    <w:rsid w:val="6CE62829"/>
    <w:rsid w:val="6D31585D"/>
    <w:rsid w:val="6D6320FF"/>
    <w:rsid w:val="6DF36DE2"/>
    <w:rsid w:val="6E9D098B"/>
    <w:rsid w:val="6F2B53AD"/>
    <w:rsid w:val="6F410F88"/>
    <w:rsid w:val="6F631A83"/>
    <w:rsid w:val="6F66415F"/>
    <w:rsid w:val="6F6821D3"/>
    <w:rsid w:val="6F9E4A4D"/>
    <w:rsid w:val="6FB853BC"/>
    <w:rsid w:val="6FCA0787"/>
    <w:rsid w:val="70874EC3"/>
    <w:rsid w:val="713E48D5"/>
    <w:rsid w:val="71483C66"/>
    <w:rsid w:val="715561F6"/>
    <w:rsid w:val="719A61E1"/>
    <w:rsid w:val="719D1528"/>
    <w:rsid w:val="71A549A1"/>
    <w:rsid w:val="71A82A0B"/>
    <w:rsid w:val="72734D90"/>
    <w:rsid w:val="72E74EEB"/>
    <w:rsid w:val="73665F12"/>
    <w:rsid w:val="75593172"/>
    <w:rsid w:val="75BF515C"/>
    <w:rsid w:val="764C0D02"/>
    <w:rsid w:val="76F30852"/>
    <w:rsid w:val="779E50B4"/>
    <w:rsid w:val="77C72768"/>
    <w:rsid w:val="77DB141A"/>
    <w:rsid w:val="78335C00"/>
    <w:rsid w:val="789E3920"/>
    <w:rsid w:val="79412508"/>
    <w:rsid w:val="79B70123"/>
    <w:rsid w:val="7A413115"/>
    <w:rsid w:val="7A41691D"/>
    <w:rsid w:val="7A492DA9"/>
    <w:rsid w:val="7A6519E1"/>
    <w:rsid w:val="7AE85B96"/>
    <w:rsid w:val="7B0228AB"/>
    <w:rsid w:val="7BD221D7"/>
    <w:rsid w:val="7C8F1FD8"/>
    <w:rsid w:val="7CA167F3"/>
    <w:rsid w:val="7CFD6B42"/>
    <w:rsid w:val="7D084044"/>
    <w:rsid w:val="7D1555DF"/>
    <w:rsid w:val="7D39698D"/>
    <w:rsid w:val="7D40393B"/>
    <w:rsid w:val="7DB87FE4"/>
    <w:rsid w:val="7E204C91"/>
    <w:rsid w:val="7E8D595F"/>
    <w:rsid w:val="7F511C71"/>
    <w:rsid w:val="7F8361A9"/>
    <w:rsid w:val="7F8E5A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1">
    <w:name w:val="15"/>
    <w:basedOn w:val="14"/>
    <w:uiPriority w:val="0"/>
    <w:rPr>
      <w:rFonts w:hint="default" w:ascii="Times New Roman" w:hAnsi="Times New Roman" w:cs="Times New Roman"/>
      <w:b/>
      <w:kern w:val="44"/>
      <w:sz w:val="44"/>
      <w:szCs w:val="44"/>
    </w:rPr>
  </w:style>
  <w:style w:type="character" w:customStyle="1" w:styleId="32">
    <w:name w:val="10"/>
    <w:basedOn w:val="1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1284</Words>
  <Characters>7320</Characters>
  <Lines>1</Lines>
  <Paragraphs>1</Paragraphs>
  <TotalTime>1</TotalTime>
  <ScaleCrop>false</ScaleCrop>
  <LinksUpToDate>false</LinksUpToDate>
  <CharactersWithSpaces>8587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光头姨爹</cp:lastModifiedBy>
  <cp:lastPrinted>2020-09-29T09:37:00Z</cp:lastPrinted>
  <dcterms:modified xsi:type="dcterms:W3CDTF">2020-09-29T10:07:19Z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